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《香菇大棚生产技术规程》</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spacing w:line="360" w:lineRule="auto"/>
        <w:jc w:val="center"/>
        <w:rPr>
          <w:rFonts w:ascii="宋体" w:hAnsi="宋体"/>
          <w:b/>
          <w:kern w:val="22"/>
          <w:sz w:val="10"/>
          <w:szCs w:val="10"/>
        </w:rPr>
      </w:pPr>
      <w:r>
        <w:rPr>
          <w:rFonts w:hint="eastAsia" w:ascii="宋体" w:hAnsi="宋体"/>
          <w:b/>
          <w:kern w:val="22"/>
          <w:sz w:val="32"/>
          <w:szCs w:val="32"/>
        </w:rPr>
        <w:t>编制单位：山西农业大学</w:t>
      </w:r>
    </w:p>
    <w:p>
      <w:pPr>
        <w:jc w:val="center"/>
        <w:rPr>
          <w:rFonts w:ascii="宋体" w:hAnsi="宋体"/>
          <w:b/>
          <w:sz w:val="32"/>
          <w:szCs w:val="32"/>
        </w:rPr>
      </w:pPr>
      <w:r>
        <w:rPr>
          <w:rFonts w:hint="eastAsia" w:ascii="宋体" w:hAnsi="宋体"/>
          <w:b/>
          <w:sz w:val="32"/>
          <w:szCs w:val="32"/>
        </w:rPr>
        <w:t xml:space="preserve"> 二〇二四年</w:t>
      </w:r>
      <w:r>
        <w:rPr>
          <w:rFonts w:hint="eastAsia" w:ascii="宋体" w:hAnsi="宋体"/>
          <w:b/>
          <w:sz w:val="32"/>
          <w:szCs w:val="32"/>
          <w:lang w:eastAsia="zh-CN"/>
        </w:rPr>
        <w:t>三</w:t>
      </w:r>
      <w:bookmarkStart w:id="0" w:name="_GoBack"/>
      <w:bookmarkEnd w:id="0"/>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spacing w:line="520" w:lineRule="exact"/>
        <w:jc w:val="center"/>
        <w:rPr>
          <w:rFonts w:ascii="宋体"/>
          <w:b/>
          <w:sz w:val="30"/>
          <w:szCs w:val="30"/>
        </w:rPr>
      </w:pPr>
      <w:r>
        <w:rPr>
          <w:rFonts w:hint="eastAsia" w:ascii="宋体" w:hAnsi="宋体"/>
          <w:b/>
          <w:sz w:val="30"/>
          <w:szCs w:val="30"/>
        </w:rPr>
        <w:t>山西省地方标准</w:t>
      </w:r>
    </w:p>
    <w:p>
      <w:pPr>
        <w:spacing w:line="520" w:lineRule="exact"/>
        <w:jc w:val="center"/>
        <w:rPr>
          <w:rFonts w:ascii="宋体"/>
          <w:b/>
          <w:sz w:val="30"/>
          <w:szCs w:val="30"/>
        </w:rPr>
      </w:pPr>
      <w:r>
        <w:rPr>
          <w:rFonts w:hint="eastAsia" w:ascii="宋体" w:hAnsi="宋体"/>
          <w:b/>
          <w:sz w:val="30"/>
          <w:szCs w:val="30"/>
        </w:rPr>
        <w:t>《香菇大棚生产技术规程》</w:t>
      </w:r>
    </w:p>
    <w:p>
      <w:pPr>
        <w:spacing w:line="520" w:lineRule="exact"/>
        <w:jc w:val="center"/>
        <w:rPr>
          <w:rFonts w:ascii="宋体" w:hAnsi="宋体"/>
          <w:b/>
          <w:sz w:val="30"/>
          <w:szCs w:val="30"/>
        </w:rPr>
      </w:pPr>
      <w:r>
        <w:rPr>
          <w:rFonts w:hint="eastAsia" w:ascii="宋体" w:hAnsi="宋体"/>
          <w:b/>
          <w:sz w:val="30"/>
          <w:szCs w:val="30"/>
        </w:rPr>
        <w:t>编制说明</w:t>
      </w:r>
    </w:p>
    <w:p>
      <w:pPr>
        <w:spacing w:line="520" w:lineRule="exact"/>
        <w:jc w:val="center"/>
        <w:rPr>
          <w:rFonts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1任务来源</w:t>
      </w:r>
    </w:p>
    <w:p>
      <w:pPr>
        <w:spacing w:line="360" w:lineRule="auto"/>
        <w:ind w:firstLine="480" w:firstLineChars="200"/>
        <w:outlineLvl w:val="1"/>
        <w:rPr>
          <w:rFonts w:ascii="仿宋_GB2312" w:hAnsi="宋体" w:eastAsia="仿宋_GB2312"/>
          <w:sz w:val="24"/>
        </w:rPr>
      </w:pPr>
      <w:r>
        <w:rPr>
          <w:rFonts w:hint="eastAsia" w:ascii="仿宋_GB2312" w:hAnsi="宋体" w:eastAsia="仿宋_GB2312"/>
          <w:sz w:val="24"/>
        </w:rPr>
        <w:t>按照山西省市场监督管理局关于2022年度省级地方标准复审结论公告（山西省地方标准公告2022年第20号），《香菇大棚生产技术规程》DB14/T 1471-2017被列入山西省地方标准修订计划，本标准由山西省农业标准化技术委员会（SXS/TC19）归口。</w:t>
      </w:r>
    </w:p>
    <w:p>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rPr>
        <w:t>山西农业大学承担</w:t>
      </w:r>
      <w:r>
        <w:rPr>
          <w:rFonts w:ascii="仿宋_GB2312" w:hAnsi="宋体" w:eastAsia="仿宋_GB2312"/>
          <w:sz w:val="24"/>
        </w:rPr>
        <w:t>。</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3"/>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993"/>
        <w:gridCol w:w="1701"/>
        <w:gridCol w:w="3472"/>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姓名</w:t>
            </w:r>
          </w:p>
        </w:tc>
        <w:tc>
          <w:tcPr>
            <w:tcW w:w="993"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性别</w:t>
            </w:r>
          </w:p>
        </w:tc>
        <w:tc>
          <w:tcPr>
            <w:tcW w:w="1701"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职务/职称</w:t>
            </w:r>
          </w:p>
        </w:tc>
        <w:tc>
          <w:tcPr>
            <w:tcW w:w="3472"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工作单位</w:t>
            </w:r>
          </w:p>
        </w:tc>
        <w:tc>
          <w:tcPr>
            <w:tcW w:w="1263"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outlineLvl w:val="1"/>
              <w:rPr>
                <w:rFonts w:ascii="仿宋" w:hAnsi="仿宋" w:eastAsia="仿宋" w:cs="Courier New"/>
                <w:sz w:val="24"/>
              </w:rPr>
            </w:pPr>
            <w:r>
              <w:rPr>
                <w:rFonts w:hint="eastAsia" w:ascii="仿宋_GB2312" w:hAnsi="宋体" w:eastAsia="仿宋_GB2312"/>
                <w:sz w:val="24"/>
              </w:rPr>
              <w:t>朱  敏</w:t>
            </w:r>
          </w:p>
        </w:tc>
        <w:tc>
          <w:tcPr>
            <w:tcW w:w="993" w:type="dxa"/>
            <w:vAlign w:val="center"/>
          </w:tcPr>
          <w:p>
            <w:pPr>
              <w:spacing w:line="360" w:lineRule="auto"/>
              <w:jc w:val="center"/>
              <w:outlineLvl w:val="1"/>
              <w:rPr>
                <w:rFonts w:ascii="仿宋" w:hAnsi="仿宋" w:eastAsia="仿宋" w:cs="Courier New"/>
                <w:sz w:val="24"/>
              </w:rPr>
            </w:pPr>
            <w:r>
              <w:rPr>
                <w:rFonts w:hint="eastAsia" w:ascii="仿宋_GB2312" w:hAnsi="宋体" w:eastAsia="仿宋_GB2312"/>
                <w:sz w:val="24"/>
              </w:rPr>
              <w:t>女</w:t>
            </w:r>
          </w:p>
        </w:tc>
        <w:tc>
          <w:tcPr>
            <w:tcW w:w="1701" w:type="dxa"/>
            <w:vAlign w:val="center"/>
          </w:tcPr>
          <w:p>
            <w:pPr>
              <w:spacing w:line="360" w:lineRule="auto"/>
              <w:jc w:val="center"/>
              <w:outlineLvl w:val="1"/>
              <w:rPr>
                <w:rFonts w:ascii="仿宋" w:hAnsi="仿宋" w:eastAsia="仿宋" w:cs="Courier New"/>
                <w:sz w:val="24"/>
              </w:rPr>
            </w:pPr>
            <w:r>
              <w:rPr>
                <w:rFonts w:hint="eastAsia" w:ascii="仿宋_GB2312" w:hAnsi="宋体" w:eastAsia="仿宋_GB2312"/>
                <w:sz w:val="24"/>
              </w:rPr>
              <w:t>助理研究员</w:t>
            </w:r>
          </w:p>
        </w:tc>
        <w:tc>
          <w:tcPr>
            <w:tcW w:w="3472" w:type="dxa"/>
            <w:vAlign w:val="center"/>
          </w:tcPr>
          <w:p>
            <w:pPr>
              <w:spacing w:line="360" w:lineRule="auto"/>
              <w:jc w:val="center"/>
              <w:outlineLvl w:val="1"/>
              <w:rPr>
                <w:rFonts w:ascii="仿宋" w:hAnsi="仿宋" w:eastAsia="仿宋" w:cs="Courier New"/>
                <w:sz w:val="24"/>
              </w:rPr>
            </w:pPr>
            <w:r>
              <w:rPr>
                <w:rFonts w:hint="eastAsia" w:ascii="仿宋_GB2312" w:hAnsi="宋体" w:eastAsia="仿宋_GB2312"/>
                <w:sz w:val="24"/>
              </w:rPr>
              <w:t>山西农业大学</w:t>
            </w:r>
          </w:p>
        </w:tc>
        <w:tc>
          <w:tcPr>
            <w:tcW w:w="1263" w:type="dxa"/>
            <w:vAlign w:val="center"/>
          </w:tcPr>
          <w:p>
            <w:pPr>
              <w:spacing w:line="360" w:lineRule="auto"/>
              <w:jc w:val="center"/>
              <w:outlineLvl w:val="1"/>
              <w:rPr>
                <w:rFonts w:ascii="仿宋" w:hAnsi="仿宋" w:eastAsia="仿宋" w:cs="Courier New"/>
                <w:sz w:val="24"/>
              </w:rPr>
            </w:pPr>
            <w:r>
              <w:rPr>
                <w:rFonts w:hint="eastAsia" w:ascii="仿宋_GB2312" w:hAnsi="宋体" w:eastAsia="仿宋_GB2312"/>
                <w:sz w:val="24"/>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郭  尚</w:t>
            </w:r>
          </w:p>
        </w:tc>
        <w:tc>
          <w:tcPr>
            <w:tcW w:w="99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男</w:t>
            </w:r>
          </w:p>
        </w:tc>
        <w:tc>
          <w:tcPr>
            <w:tcW w:w="1701"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院长、书记/研究员</w:t>
            </w:r>
          </w:p>
        </w:tc>
        <w:tc>
          <w:tcPr>
            <w:tcW w:w="347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山西农业大学</w:t>
            </w:r>
          </w:p>
        </w:tc>
        <w:tc>
          <w:tcPr>
            <w:tcW w:w="126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凌  亮</w:t>
            </w:r>
          </w:p>
        </w:tc>
        <w:tc>
          <w:tcPr>
            <w:tcW w:w="99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男</w:t>
            </w:r>
          </w:p>
        </w:tc>
        <w:tc>
          <w:tcPr>
            <w:tcW w:w="1701"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党政办主任/副研究员</w:t>
            </w:r>
          </w:p>
        </w:tc>
        <w:tc>
          <w:tcPr>
            <w:tcW w:w="347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山西农业大学</w:t>
            </w:r>
          </w:p>
        </w:tc>
        <w:tc>
          <w:tcPr>
            <w:tcW w:w="126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杨  杰</w:t>
            </w:r>
          </w:p>
        </w:tc>
        <w:tc>
          <w:tcPr>
            <w:tcW w:w="99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男</w:t>
            </w:r>
          </w:p>
        </w:tc>
        <w:tc>
          <w:tcPr>
            <w:tcW w:w="1701"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科室主任/副研究员</w:t>
            </w:r>
          </w:p>
        </w:tc>
        <w:tc>
          <w:tcPr>
            <w:tcW w:w="347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山西农业大学</w:t>
            </w:r>
          </w:p>
        </w:tc>
        <w:tc>
          <w:tcPr>
            <w:tcW w:w="126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张  程</w:t>
            </w:r>
          </w:p>
        </w:tc>
        <w:tc>
          <w:tcPr>
            <w:tcW w:w="99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男</w:t>
            </w:r>
          </w:p>
        </w:tc>
        <w:tc>
          <w:tcPr>
            <w:tcW w:w="1701"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助理研究员</w:t>
            </w:r>
          </w:p>
        </w:tc>
        <w:tc>
          <w:tcPr>
            <w:tcW w:w="347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山西农业大学</w:t>
            </w:r>
          </w:p>
        </w:tc>
        <w:tc>
          <w:tcPr>
            <w:tcW w:w="126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标准调研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郭伟伟</w:t>
            </w:r>
          </w:p>
        </w:tc>
        <w:tc>
          <w:tcPr>
            <w:tcW w:w="99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男</w:t>
            </w:r>
          </w:p>
        </w:tc>
        <w:tc>
          <w:tcPr>
            <w:tcW w:w="1701"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助理研究员</w:t>
            </w:r>
          </w:p>
        </w:tc>
        <w:tc>
          <w:tcPr>
            <w:tcW w:w="347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山西农业大学</w:t>
            </w:r>
          </w:p>
        </w:tc>
        <w:tc>
          <w:tcPr>
            <w:tcW w:w="126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标准调研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张雅君</w:t>
            </w:r>
          </w:p>
        </w:tc>
        <w:tc>
          <w:tcPr>
            <w:tcW w:w="99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女</w:t>
            </w:r>
          </w:p>
        </w:tc>
        <w:tc>
          <w:tcPr>
            <w:tcW w:w="1701"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助理研究员</w:t>
            </w:r>
          </w:p>
        </w:tc>
        <w:tc>
          <w:tcPr>
            <w:tcW w:w="347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山西农业大学</w:t>
            </w:r>
          </w:p>
        </w:tc>
        <w:tc>
          <w:tcPr>
            <w:tcW w:w="126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标准调研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郝秀丽</w:t>
            </w:r>
          </w:p>
        </w:tc>
        <w:tc>
          <w:tcPr>
            <w:tcW w:w="99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女</w:t>
            </w:r>
          </w:p>
        </w:tc>
        <w:tc>
          <w:tcPr>
            <w:tcW w:w="1701"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助理研究员</w:t>
            </w:r>
          </w:p>
        </w:tc>
        <w:tc>
          <w:tcPr>
            <w:tcW w:w="347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山西农业大学</w:t>
            </w:r>
          </w:p>
        </w:tc>
        <w:tc>
          <w:tcPr>
            <w:tcW w:w="126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标准调研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罗素兰</w:t>
            </w:r>
          </w:p>
        </w:tc>
        <w:tc>
          <w:tcPr>
            <w:tcW w:w="99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女</w:t>
            </w:r>
          </w:p>
        </w:tc>
        <w:tc>
          <w:tcPr>
            <w:tcW w:w="1701"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助理研究员</w:t>
            </w:r>
          </w:p>
        </w:tc>
        <w:tc>
          <w:tcPr>
            <w:tcW w:w="347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山西农业大学</w:t>
            </w:r>
          </w:p>
        </w:tc>
        <w:tc>
          <w:tcPr>
            <w:tcW w:w="126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李素玲</w:t>
            </w:r>
          </w:p>
        </w:tc>
        <w:tc>
          <w:tcPr>
            <w:tcW w:w="99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女</w:t>
            </w:r>
          </w:p>
        </w:tc>
        <w:tc>
          <w:tcPr>
            <w:tcW w:w="1701"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研究员</w:t>
            </w:r>
          </w:p>
        </w:tc>
        <w:tc>
          <w:tcPr>
            <w:tcW w:w="3472"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山西农业大学</w:t>
            </w:r>
          </w:p>
        </w:tc>
        <w:tc>
          <w:tcPr>
            <w:tcW w:w="1263" w:type="dxa"/>
            <w:vAlign w:val="center"/>
          </w:tcPr>
          <w:p>
            <w:pPr>
              <w:spacing w:line="360" w:lineRule="auto"/>
              <w:jc w:val="center"/>
              <w:outlineLvl w:val="1"/>
              <w:rPr>
                <w:rFonts w:ascii="仿宋_GB2312" w:hAnsi="宋体" w:eastAsia="仿宋_GB2312"/>
                <w:sz w:val="24"/>
              </w:rPr>
            </w:pPr>
            <w:r>
              <w:rPr>
                <w:rFonts w:hint="eastAsia" w:ascii="仿宋_GB2312" w:hAnsi="宋体" w:eastAsia="仿宋_GB2312"/>
                <w:sz w:val="24"/>
              </w:rPr>
              <w:t>标准调研</w:t>
            </w:r>
          </w:p>
        </w:tc>
      </w:tr>
    </w:tbl>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山西省生产香菇有两大优势：一为气候资源优势。山西省中北部地区海拔较高、温度较低、昼夜温差较大，极其适宜进行反季节香菇栽培，通过栽培措施使香菇出菇期在6月-9月，此时河南、河北等周边省份的香菇由于气温高而不能进行生产，而山西此时通过技术手段结合当地环境可以生产出质量上乘的香菇。不仅销路不愁而且价格在7-9元之间，比秋菇价格贵2-5元。二为原材料资源优势。山西晋中、运城的果木资源丰富，而每年修剪苹果、核桃等果木的枝条木屑就可用来栽培香菇，山西省的果木屑由于是农作物的下脚料价位在300元/吨左右，较东北的木屑每吨便宜500元左右，有较大的原材料优势。发展山西省的香菇产业，不仅利用了我省的气候资源优势，同时将香菇经济效益显著提升，具有显著的社会、生态、经济效益，应用前景广阔。</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我们在看到成绩和优势的同时，也发现我省香菇产业的许多问题：1、香菇种植技术目前多以西峡的模式为主，没有充分利用我省的气候资源优势，出菇大多数以秋菇为主。2、我省反季节香菇近一两年发展较快，但技术上参差不齐，出菇棚建设不合理。3、出菇棚的设计千奇百怪，大多是农户自己设计，设计存在很多问题，最后导致出菇失败或产量极低。</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针对我省香菇产业发展现状和存在的突出问题，山西农业大学于2022年12月专门成立香菇标准修订与实施课题组，在山西大同、忻州、吕梁、晋中、太原、运城等地进行系统考察和综合论证，对照2017年版本《香菇大棚生产技术规程》查漏补缺。两年多来，我单位开展了大量的香菇栽培试验研究工作，经过两年多摸索和试验，对山西省的气候条件、香菇的生理特性、栽培技术、香菇出菇棚设计等方面都进行了系统深入的了解，结合生产实践，在《香菇大棚生产技术规程》基础上完成修订工作。</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400" w:lineRule="exact"/>
        <w:ind w:firstLine="480" w:firstLineChars="200"/>
        <w:rPr>
          <w:rFonts w:eastAsia="仿宋_GB2312"/>
          <w:bCs/>
          <w:sz w:val="24"/>
        </w:rPr>
      </w:pPr>
      <w:r>
        <w:rPr>
          <w:rFonts w:hint="eastAsia" w:eastAsia="仿宋_GB2312"/>
          <w:bCs/>
          <w:sz w:val="24"/>
        </w:rPr>
        <w:t>1、成立标准修订工作组</w:t>
      </w:r>
    </w:p>
    <w:p>
      <w:pPr>
        <w:spacing w:line="400" w:lineRule="exact"/>
        <w:ind w:firstLine="480" w:firstLineChars="200"/>
        <w:rPr>
          <w:rFonts w:eastAsia="仿宋_GB2312"/>
          <w:bCs/>
          <w:sz w:val="24"/>
        </w:rPr>
      </w:pPr>
      <w:r>
        <w:rPr>
          <w:rFonts w:hint="eastAsia" w:eastAsia="仿宋_GB2312"/>
          <w:bCs/>
          <w:sz w:val="24"/>
        </w:rPr>
        <w:t>《香菇大棚生产技术规程》地方标准修订任务下达后，山西农业大学立即成立了标准修订小组，并确立了起草小组人员，制定了标准修订计划，对查阅文献、重复有关实验以及资料整理、调查生产现状与实践验证工作进行分工。</w:t>
      </w:r>
    </w:p>
    <w:p>
      <w:pPr>
        <w:spacing w:line="400" w:lineRule="exact"/>
        <w:ind w:firstLine="480" w:firstLineChars="200"/>
        <w:rPr>
          <w:rFonts w:eastAsia="仿宋_GB2312"/>
          <w:bCs/>
          <w:sz w:val="24"/>
        </w:rPr>
      </w:pPr>
      <w:r>
        <w:rPr>
          <w:rFonts w:hint="eastAsia" w:eastAsia="仿宋_GB2312"/>
          <w:bCs/>
          <w:sz w:val="24"/>
        </w:rPr>
        <w:t>2、调研考察</w:t>
      </w:r>
    </w:p>
    <w:p>
      <w:pPr>
        <w:spacing w:line="400" w:lineRule="exact"/>
        <w:ind w:firstLine="480" w:firstLineChars="200"/>
        <w:rPr>
          <w:rFonts w:eastAsia="仿宋_GB2312"/>
          <w:bCs/>
          <w:sz w:val="24"/>
        </w:rPr>
      </w:pPr>
      <w:r>
        <w:rPr>
          <w:rFonts w:hint="eastAsia" w:eastAsia="仿宋_GB2312"/>
          <w:bCs/>
          <w:sz w:val="24"/>
        </w:rPr>
        <w:t>2023年2月至2023年10月，起草组在山西大同、忻州、吕梁、晋中、太原、运城等地，对我国不同区域香菇种植情况进行调研的基础上，重点调研了山西省香菇种植情况，并深入我省山区、晋中区域、晋南区域对香菇种植基地和农户，进行广泛调研，认真听取意见和收集相关资料，进行了必要的检验。</w:t>
      </w:r>
    </w:p>
    <w:p>
      <w:pPr>
        <w:spacing w:line="400" w:lineRule="exact"/>
        <w:ind w:firstLine="480" w:firstLineChars="200"/>
        <w:rPr>
          <w:rFonts w:eastAsia="仿宋_GB2312"/>
          <w:bCs/>
          <w:sz w:val="24"/>
        </w:rPr>
      </w:pPr>
      <w:r>
        <w:rPr>
          <w:rFonts w:hint="eastAsia" w:eastAsia="仿宋_GB2312"/>
          <w:bCs/>
          <w:sz w:val="24"/>
        </w:rPr>
        <w:t>3、收集资料</w:t>
      </w:r>
    </w:p>
    <w:p>
      <w:pPr>
        <w:spacing w:line="360" w:lineRule="auto"/>
        <w:ind w:firstLine="480" w:firstLineChars="200"/>
        <w:jc w:val="left"/>
        <w:rPr>
          <w:rFonts w:ascii="仿宋_GB2312" w:hAnsi="宋体" w:eastAsia="仿宋_GB2312"/>
          <w:sz w:val="24"/>
        </w:rPr>
      </w:pPr>
      <w:r>
        <w:rPr>
          <w:rFonts w:hint="eastAsia" w:eastAsia="仿宋_GB2312"/>
          <w:bCs/>
          <w:sz w:val="24"/>
        </w:rPr>
        <w:t>本标准撰写初期，起草小组深入学习了标准的基本结构和编写规则，了解了标准的起草格式和写作要求。编制过程中，2023年2月起，编制起草小组查阅了国内外对香菇生物学特性的研究以及生产技术的有关文献，整理出了所需的资料，为起草标准作了文献和科学数据等方面的准备。</w:t>
      </w:r>
    </w:p>
    <w:p>
      <w:pPr>
        <w:spacing w:line="400" w:lineRule="exact"/>
        <w:ind w:firstLine="480" w:firstLineChars="200"/>
        <w:rPr>
          <w:rFonts w:eastAsia="仿宋_GB2312"/>
          <w:bCs/>
          <w:sz w:val="24"/>
        </w:rPr>
      </w:pPr>
      <w:r>
        <w:rPr>
          <w:rFonts w:hint="eastAsia" w:eastAsia="仿宋_GB2312"/>
          <w:bCs/>
          <w:sz w:val="24"/>
        </w:rPr>
        <w:t>4、修订文本</w:t>
      </w:r>
    </w:p>
    <w:p>
      <w:pPr>
        <w:spacing w:line="400" w:lineRule="exact"/>
        <w:ind w:firstLine="480" w:firstLineChars="200"/>
        <w:rPr>
          <w:rFonts w:eastAsia="仿宋_GB2312"/>
          <w:bCs/>
          <w:sz w:val="24"/>
        </w:rPr>
      </w:pPr>
      <w:r>
        <w:rPr>
          <w:rFonts w:hint="eastAsia" w:eastAsia="仿宋_GB2312"/>
          <w:bCs/>
          <w:sz w:val="24"/>
        </w:rPr>
        <w:t>在参照相关规程、法律法规及实地调查的基础上，对香菇大棚生产技术要点、档案管理等内容进行了系统研究，形成了《香菇大棚生产技术规程》草案。向山西省园艺产业发展中心等5家单位发送征求意见，针对标准的部分内容提出意见并形成意见稿。</w:t>
      </w:r>
    </w:p>
    <w:p>
      <w:pPr>
        <w:spacing w:line="400" w:lineRule="exact"/>
        <w:ind w:firstLine="480" w:firstLineChars="200"/>
        <w:rPr>
          <w:rFonts w:eastAsia="仿宋_GB2312"/>
          <w:bCs/>
          <w:sz w:val="24"/>
        </w:rPr>
      </w:pPr>
      <w:r>
        <w:rPr>
          <w:rFonts w:hint="eastAsia" w:eastAsia="仿宋_GB2312"/>
          <w:bCs/>
          <w:sz w:val="24"/>
        </w:rPr>
        <w:t>5、技术评审</w:t>
      </w:r>
    </w:p>
    <w:p>
      <w:pPr>
        <w:spacing w:line="400" w:lineRule="exact"/>
        <w:ind w:firstLine="480" w:firstLineChars="200"/>
        <w:rPr>
          <w:rFonts w:eastAsia="仿宋_GB2312"/>
          <w:bCs/>
          <w:sz w:val="24"/>
        </w:rPr>
      </w:pPr>
      <w:r>
        <w:rPr>
          <w:rFonts w:hint="eastAsia" w:eastAsia="仿宋_GB2312"/>
          <w:bCs/>
          <w:sz w:val="24"/>
        </w:rPr>
        <w:t>技术评审 2024 年 3 月 28 日山西省农业标准化技术委员会组织专家，召开了技术审查会，起草组根据专家意见进行修改完善，形成修改完善稿。</w:t>
      </w:r>
    </w:p>
    <w:p>
      <w:pPr>
        <w:numPr>
          <w:ilvl w:val="0"/>
          <w:numId w:val="3"/>
        </w:numPr>
        <w:spacing w:line="400" w:lineRule="exact"/>
        <w:ind w:firstLine="480" w:firstLineChars="200"/>
        <w:rPr>
          <w:rFonts w:eastAsia="仿宋_GB2312"/>
          <w:bCs/>
          <w:sz w:val="24"/>
        </w:rPr>
      </w:pPr>
      <w:r>
        <w:rPr>
          <w:rFonts w:hint="eastAsia" w:eastAsia="仿宋_GB2312"/>
          <w:bCs/>
          <w:sz w:val="24"/>
        </w:rPr>
        <w:t>征求意见</w:t>
      </w:r>
    </w:p>
    <w:p>
      <w:pPr>
        <w:spacing w:line="400" w:lineRule="exact"/>
        <w:rPr>
          <w:rFonts w:eastAsia="仿宋_GB2312"/>
          <w:bCs/>
          <w:sz w:val="24"/>
        </w:rPr>
      </w:pPr>
      <w:r>
        <w:rPr>
          <w:rFonts w:hint="eastAsia" w:eastAsia="仿宋_GB2312"/>
          <w:bCs/>
          <w:sz w:val="24"/>
        </w:rPr>
        <w:t xml:space="preserve">    征求意见 xxxx 年 xx 月 xx 日﹣ xxxx 年 xx 月 xx 日，通过山西省市场监管局网对修订标准《香菇大棚栽培技术规程》进行公示，广泛征求公众意见。</w:t>
      </w:r>
    </w:p>
    <w:p>
      <w:pPr>
        <w:numPr>
          <w:ilvl w:val="0"/>
          <w:numId w:val="3"/>
        </w:numPr>
        <w:spacing w:line="400" w:lineRule="exact"/>
        <w:ind w:firstLine="480" w:firstLineChars="200"/>
        <w:rPr>
          <w:rFonts w:eastAsia="仿宋_GB2312"/>
          <w:bCs/>
          <w:sz w:val="24"/>
        </w:rPr>
      </w:pPr>
      <w:r>
        <w:rPr>
          <w:rFonts w:hint="eastAsia" w:eastAsia="仿宋_GB2312"/>
          <w:bCs/>
          <w:sz w:val="24"/>
        </w:rPr>
        <w:t>完善文本</w:t>
      </w:r>
    </w:p>
    <w:p>
      <w:pPr>
        <w:spacing w:line="400" w:lineRule="exact"/>
        <w:ind w:firstLine="480" w:firstLineChars="200"/>
        <w:rPr>
          <w:rFonts w:eastAsia="仿宋_GB2312"/>
          <w:bCs/>
          <w:sz w:val="24"/>
        </w:rPr>
      </w:pPr>
      <w:r>
        <w:rPr>
          <w:rFonts w:hint="eastAsia" w:eastAsia="仿宋_GB2312"/>
          <w:bCs/>
          <w:sz w:val="24"/>
        </w:rPr>
        <w:t>完善文本标准修订组对征求的意见进行分析汇总，进一步修改完善后形成标准送审稿，标委会表决予以通过。</w:t>
      </w:r>
    </w:p>
    <w:p>
      <w:pPr>
        <w:numPr>
          <w:ilvl w:val="0"/>
          <w:numId w:val="3"/>
        </w:numPr>
        <w:spacing w:line="400" w:lineRule="exact"/>
        <w:ind w:firstLine="480" w:firstLineChars="200"/>
        <w:rPr>
          <w:rFonts w:eastAsia="仿宋_GB2312"/>
          <w:bCs/>
          <w:sz w:val="24"/>
        </w:rPr>
      </w:pPr>
      <w:r>
        <w:rPr>
          <w:rFonts w:hint="eastAsia" w:eastAsia="仿宋_GB2312"/>
          <w:bCs/>
          <w:sz w:val="24"/>
        </w:rPr>
        <w:t>形成报批稿、提交报批材料</w:t>
      </w:r>
    </w:p>
    <w:p>
      <w:pPr>
        <w:spacing w:line="400" w:lineRule="exact"/>
        <w:ind w:firstLine="480" w:firstLineChars="200"/>
        <w:rPr>
          <w:rFonts w:eastAsia="仿宋_GB2312"/>
          <w:bCs/>
          <w:sz w:val="24"/>
        </w:rPr>
      </w:pPr>
      <w:r>
        <w:rPr>
          <w:rFonts w:hint="eastAsia" w:eastAsia="仿宋_GB2312"/>
          <w:bCs/>
          <w:sz w:val="24"/>
        </w:rPr>
        <w:t>在参照相关规程、法律法规及实地调查的基础上，对香菇大棚生产技术要点、档案管理等内容进行了系统研究，形成了《香菇大棚生产技术规程》草案。</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rPr>
        <w:t>制修</w:t>
      </w:r>
      <w:r>
        <w:rPr>
          <w:rFonts w:ascii="黑体" w:eastAsia="黑体"/>
          <w:sz w:val="24"/>
        </w:rPr>
        <w:t>订标准的原则和依据，与现行法律、法规、标准的关系</w:t>
      </w:r>
    </w:p>
    <w:p>
      <w:pPr>
        <w:spacing w:line="400" w:lineRule="exact"/>
        <w:ind w:firstLine="480" w:firstLineChars="200"/>
        <w:rPr>
          <w:rFonts w:eastAsia="仿宋_GB2312"/>
          <w:bCs/>
          <w:sz w:val="24"/>
        </w:rPr>
      </w:pPr>
      <w:r>
        <w:rPr>
          <w:rFonts w:hint="eastAsia" w:eastAsia="仿宋_GB2312"/>
          <w:bCs/>
          <w:sz w:val="24"/>
        </w:rPr>
        <w:t>（一）制订标准的原则和依据</w:t>
      </w:r>
    </w:p>
    <w:p>
      <w:pPr>
        <w:spacing w:line="400" w:lineRule="exact"/>
        <w:ind w:firstLine="480" w:firstLineChars="200"/>
        <w:rPr>
          <w:rFonts w:eastAsia="仿宋_GB2312"/>
          <w:bCs/>
          <w:sz w:val="24"/>
        </w:rPr>
      </w:pPr>
      <w:r>
        <w:rPr>
          <w:rFonts w:hint="eastAsia" w:eastAsia="仿宋_GB2312"/>
          <w:bCs/>
          <w:sz w:val="24"/>
        </w:rPr>
        <w:t>1、坚持连贯性原则。充分考虑和已有标准、规程的衔接，充分吸收已有研究成果。</w:t>
      </w:r>
    </w:p>
    <w:p>
      <w:pPr>
        <w:spacing w:line="400" w:lineRule="exact"/>
        <w:ind w:firstLine="480" w:firstLineChars="200"/>
        <w:rPr>
          <w:rFonts w:eastAsia="仿宋_GB2312"/>
          <w:bCs/>
          <w:sz w:val="24"/>
        </w:rPr>
      </w:pPr>
      <w:r>
        <w:rPr>
          <w:rFonts w:hint="eastAsia" w:eastAsia="仿宋_GB2312"/>
          <w:bCs/>
          <w:sz w:val="24"/>
        </w:rPr>
        <w:t>2、坚持科学性原则。在程序、方法、结构和内容等方面借鉴国内外已有研究成果，科学设计。</w:t>
      </w:r>
    </w:p>
    <w:p>
      <w:pPr>
        <w:spacing w:line="400" w:lineRule="exact"/>
        <w:ind w:firstLine="480" w:firstLineChars="200"/>
        <w:rPr>
          <w:rFonts w:eastAsia="仿宋_GB2312"/>
          <w:bCs/>
          <w:sz w:val="24"/>
        </w:rPr>
      </w:pPr>
      <w:r>
        <w:rPr>
          <w:rFonts w:hint="eastAsia" w:eastAsia="仿宋_GB2312"/>
          <w:bCs/>
          <w:sz w:val="24"/>
        </w:rPr>
        <w:t>3、坚持指导性原则。针对我省食用菌发展现状，对不同地区香菇种植模式、出菇棚结构都应有一定指导作用。</w:t>
      </w:r>
    </w:p>
    <w:p>
      <w:pPr>
        <w:spacing w:line="400" w:lineRule="exact"/>
        <w:ind w:firstLine="480" w:firstLineChars="200"/>
        <w:rPr>
          <w:rFonts w:eastAsia="仿宋_GB2312"/>
          <w:bCs/>
          <w:sz w:val="24"/>
        </w:rPr>
      </w:pPr>
      <w:r>
        <w:rPr>
          <w:rFonts w:hint="eastAsia" w:eastAsia="仿宋_GB2312"/>
          <w:bCs/>
          <w:sz w:val="24"/>
        </w:rPr>
        <w:t>4、坚持可操作性原则。提出的技术要求应着眼宏观、兼顾微观、便于操作、实用可行。</w:t>
      </w:r>
    </w:p>
    <w:p>
      <w:pPr>
        <w:spacing w:line="400" w:lineRule="exact"/>
        <w:ind w:firstLine="480" w:firstLineChars="200"/>
        <w:rPr>
          <w:rFonts w:eastAsia="仿宋_GB2312"/>
          <w:bCs/>
          <w:sz w:val="24"/>
        </w:rPr>
      </w:pPr>
      <w:r>
        <w:rPr>
          <w:rFonts w:hint="eastAsia" w:eastAsia="仿宋_GB2312"/>
          <w:bCs/>
          <w:sz w:val="24"/>
        </w:rPr>
        <w:t>（二）与现行法律、法规、标准的关系</w:t>
      </w:r>
    </w:p>
    <w:p>
      <w:pPr>
        <w:spacing w:line="400" w:lineRule="exact"/>
        <w:ind w:firstLine="480" w:firstLineChars="200"/>
        <w:rPr>
          <w:rFonts w:eastAsia="仿宋_GB2312"/>
          <w:bCs/>
          <w:sz w:val="24"/>
        </w:rPr>
      </w:pPr>
      <w:r>
        <w:rPr>
          <w:rFonts w:hint="eastAsia" w:eastAsia="仿宋_GB2312"/>
          <w:bCs/>
          <w:sz w:val="24"/>
        </w:rPr>
        <w:t>1.香菇大棚生产技术规程是在遵循《中华人民共和国标准化法》、《中华人民共和国食品安全法》、《农产品质量安全法》等法律和国家技术监督局《农业标准化管理办法》、《无公害农产品管理办法》等部门规章的基础上形成的，保证其内容与现行法律、法规不存在矛盾的地方。</w:t>
      </w:r>
    </w:p>
    <w:p>
      <w:pPr>
        <w:spacing w:line="400" w:lineRule="exact"/>
        <w:ind w:firstLine="480" w:firstLineChars="200"/>
        <w:rPr>
          <w:rFonts w:eastAsia="仿宋_GB2312"/>
          <w:bCs/>
          <w:sz w:val="24"/>
        </w:rPr>
      </w:pPr>
      <w:r>
        <w:rPr>
          <w:rFonts w:hint="eastAsia" w:eastAsia="仿宋_GB2312"/>
          <w:bCs/>
          <w:sz w:val="24"/>
        </w:rPr>
        <w:t>2.本标准中所使用的计量单位、编制格式、表达方法等书写方面内容均按国家标准要求进行。</w:t>
      </w:r>
    </w:p>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400" w:lineRule="exact"/>
        <w:ind w:firstLine="480" w:firstLineChars="200"/>
        <w:rPr>
          <w:rFonts w:hint="eastAsia" w:eastAsia="仿宋_GB2312"/>
          <w:bCs/>
          <w:sz w:val="24"/>
        </w:rPr>
      </w:pPr>
      <w:r>
        <w:rPr>
          <w:rFonts w:hint="eastAsia" w:eastAsia="仿宋_GB2312"/>
          <w:bCs/>
          <w:sz w:val="24"/>
        </w:rPr>
        <w:t>标准起草组以“合法性、安全性、适应性、协调性和先进性”为修订原则，以文本结构更加合理、表述更加准确、技术指标更加科学为修订目标，从2个方面对文本进行了修订，其中：</w:t>
      </w:r>
    </w:p>
    <w:p>
      <w:pPr>
        <w:spacing w:line="400" w:lineRule="exact"/>
        <w:ind w:firstLine="480" w:firstLineChars="200"/>
        <w:rPr>
          <w:rFonts w:hint="eastAsia" w:eastAsia="仿宋_GB2312"/>
          <w:bCs/>
          <w:sz w:val="24"/>
        </w:rPr>
      </w:pPr>
      <w:r>
        <w:rPr>
          <w:rFonts w:hint="eastAsia" w:eastAsia="仿宋_GB2312"/>
          <w:bCs/>
          <w:sz w:val="24"/>
        </w:rPr>
        <w:t>1、涉及表述与编辑性修改的主要有1项：</w:t>
      </w:r>
    </w:p>
    <w:p>
      <w:pPr>
        <w:spacing w:line="400" w:lineRule="exact"/>
        <w:ind w:firstLine="480" w:firstLineChars="200"/>
        <w:rPr>
          <w:rFonts w:hint="eastAsia" w:eastAsia="仿宋_GB2312"/>
          <w:bCs/>
          <w:sz w:val="24"/>
        </w:rPr>
      </w:pPr>
      <w:r>
        <w:rPr>
          <w:rFonts w:hint="eastAsia" w:eastAsia="仿宋_GB2312"/>
          <w:bCs/>
          <w:sz w:val="24"/>
        </w:rPr>
        <w:t>增加了规范性引导文件中“GB/T 8321.5 农药合理使用准则（五）”、“GB/T 8321.7 农药合理使用准则（七）”、“GB/T 8321.10 农药合理使用准则（十）”、“GB/T 30768 食品包装用纸与塑料复合膜、袋”，删除规范性引导文件“NY/T 5010 无公害农产品 种植业产地环境”和“NY 5099 无公害食品 食用菌栽培基质安全技术要求”。</w:t>
      </w:r>
    </w:p>
    <w:p>
      <w:pPr>
        <w:spacing w:line="400" w:lineRule="exact"/>
        <w:ind w:firstLine="480" w:firstLineChars="200"/>
        <w:rPr>
          <w:rFonts w:hint="eastAsia" w:eastAsia="仿宋_GB2312"/>
          <w:bCs/>
          <w:sz w:val="24"/>
        </w:rPr>
      </w:pPr>
      <w:r>
        <w:rPr>
          <w:rFonts w:hint="eastAsia" w:eastAsia="仿宋_GB2312"/>
          <w:bCs/>
          <w:sz w:val="24"/>
        </w:rPr>
        <w:t>2、涉及到的技术指标主要有11项：</w:t>
      </w:r>
    </w:p>
    <w:p>
      <w:pPr>
        <w:spacing w:line="400" w:lineRule="exact"/>
        <w:ind w:firstLine="480" w:firstLineChars="200"/>
        <w:rPr>
          <w:rFonts w:hint="eastAsia" w:eastAsia="仿宋_GB2312"/>
          <w:bCs/>
          <w:sz w:val="24"/>
        </w:rPr>
      </w:pPr>
      <w:r>
        <w:rPr>
          <w:rFonts w:hint="eastAsia" w:eastAsia="仿宋_GB2312"/>
          <w:bCs/>
          <w:sz w:val="24"/>
        </w:rPr>
        <w:t>（1）增加了“6.3.1 配方一”中pH和“6.3.2 配方二”中含水量和pH要求。修订原因：菌袋含水量和pH是重要指标，含水量太高容易发霉，含水量太低不利于菌丝生长，香菇菌丝只有在适当的pH范围内才能高效生长，因此这两项指标是不可缺少的。</w:t>
      </w:r>
    </w:p>
    <w:p>
      <w:pPr>
        <w:spacing w:line="400" w:lineRule="exact"/>
        <w:ind w:firstLine="480" w:firstLineChars="200"/>
        <w:rPr>
          <w:rFonts w:hint="eastAsia" w:eastAsia="仿宋_GB2312"/>
          <w:bCs/>
          <w:sz w:val="24"/>
        </w:rPr>
      </w:pPr>
      <w:r>
        <w:rPr>
          <w:rFonts w:hint="eastAsia" w:eastAsia="仿宋_GB2312"/>
          <w:bCs/>
          <w:sz w:val="24"/>
        </w:rPr>
        <w:t>（2）增加了“6.3.3配方三”。修订原因：经企业试验，改配方出菇效果良好。</w:t>
      </w:r>
    </w:p>
    <w:p>
      <w:pPr>
        <w:spacing w:line="400" w:lineRule="exact"/>
        <w:ind w:firstLine="480" w:firstLineChars="200"/>
        <w:rPr>
          <w:rFonts w:hint="eastAsia" w:eastAsia="仿宋_GB2312"/>
          <w:bCs/>
          <w:sz w:val="24"/>
        </w:rPr>
      </w:pPr>
      <w:r>
        <w:rPr>
          <w:rFonts w:hint="eastAsia" w:eastAsia="仿宋_GB2312"/>
          <w:bCs/>
          <w:sz w:val="24"/>
        </w:rPr>
        <w:t>（3）增加了“6.5 灭菌”中高压灭菌方法。</w:t>
      </w:r>
    </w:p>
    <w:p>
      <w:pPr>
        <w:spacing w:line="400" w:lineRule="exact"/>
        <w:ind w:firstLine="480" w:firstLineChars="200"/>
        <w:rPr>
          <w:rFonts w:hint="eastAsia" w:eastAsia="仿宋_GB2312"/>
          <w:bCs/>
          <w:sz w:val="24"/>
        </w:rPr>
      </w:pPr>
      <w:r>
        <w:rPr>
          <w:rFonts w:hint="eastAsia" w:eastAsia="仿宋_GB2312"/>
          <w:bCs/>
          <w:sz w:val="24"/>
        </w:rPr>
        <w:t>（4）增加了“7.5刺孔管理”中刺孔深度和数量规范。修订原因：在调研过程中发现，多个企业刺孔方式、深度和数量均不规范。</w:t>
      </w:r>
    </w:p>
    <w:p>
      <w:pPr>
        <w:spacing w:line="400" w:lineRule="exact"/>
        <w:ind w:firstLine="480" w:firstLineChars="200"/>
        <w:rPr>
          <w:bCs/>
          <w:sz w:val="24"/>
        </w:rPr>
      </w:pPr>
      <w:r>
        <w:rPr>
          <w:rFonts w:hint="eastAsia" w:eastAsia="仿宋_GB2312"/>
          <w:bCs/>
          <w:sz w:val="24"/>
        </w:rPr>
        <w:t>（5）增加了“7.4发菌管理”中湿度管理。修订原因：原文本中对发菌管理湿度要求为≤60%，多个企业在湿度管理上出现偏差，影响香菇发菌效果，起草组对发菌湿度做单因素分析。结果如下表：</w:t>
      </w:r>
    </w:p>
    <w:p>
      <w:pPr>
        <w:spacing w:line="360" w:lineRule="auto"/>
        <w:outlineLvl w:val="0"/>
        <w:rPr>
          <w:bCs/>
          <w:sz w:val="24"/>
        </w:rPr>
      </w:pPr>
    </w:p>
    <w:p>
      <w:pPr>
        <w:spacing w:line="400" w:lineRule="exact"/>
        <w:ind w:firstLine="480" w:firstLineChars="200"/>
        <w:jc w:val="center"/>
        <w:rPr>
          <w:rFonts w:hint="eastAsia" w:eastAsia="仿宋_GB2312"/>
          <w:bCs/>
          <w:sz w:val="24"/>
        </w:rPr>
      </w:pPr>
    </w:p>
    <w:p>
      <w:pPr>
        <w:spacing w:line="400" w:lineRule="exact"/>
        <w:ind w:firstLine="480" w:firstLineChars="200"/>
        <w:jc w:val="center"/>
        <w:rPr>
          <w:rFonts w:hint="eastAsia" w:eastAsia="仿宋_GB2312"/>
          <w:bCs/>
          <w:sz w:val="24"/>
        </w:rPr>
      </w:pPr>
    </w:p>
    <w:p>
      <w:pPr>
        <w:spacing w:line="400" w:lineRule="exact"/>
        <w:ind w:firstLine="480" w:firstLineChars="200"/>
        <w:jc w:val="center"/>
        <w:rPr>
          <w:rFonts w:hint="eastAsia" w:eastAsia="仿宋_GB2312"/>
          <w:bCs/>
          <w:sz w:val="24"/>
        </w:rPr>
      </w:pPr>
      <w:r>
        <w:rPr>
          <w:rFonts w:hint="eastAsia" w:eastAsia="仿宋_GB2312"/>
          <w:bCs/>
          <w:sz w:val="24"/>
        </w:rPr>
        <w:t>湿度对香菇发菌影响</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8"/>
        <w:gridCol w:w="2839"/>
        <w:gridCol w:w="2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编号</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相对湿度</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菌丝生长情况（25天）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1</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50%</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菌丝生长缓慢，40%未生长完全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2</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60%</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菌丝生长较好，已经进入生理成熟期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38"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3</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70%</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菌丝生长较好，已经进入生理成熟期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4</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80%</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菌丝生长较好，污染率升高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8"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5</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90%</w:t>
            </w:r>
          </w:p>
        </w:tc>
        <w:tc>
          <w:tcPr>
            <w:tcW w:w="2839" w:type="dxa"/>
            <w:vAlign w:val="center"/>
          </w:tcPr>
          <w:p>
            <w:pPr>
              <w:spacing w:line="400" w:lineRule="exact"/>
              <w:ind w:firstLine="480" w:firstLineChars="200"/>
              <w:jc w:val="center"/>
              <w:rPr>
                <w:rFonts w:hint="eastAsia" w:eastAsia="仿宋_GB2312"/>
                <w:bCs/>
                <w:sz w:val="24"/>
              </w:rPr>
            </w:pPr>
            <w:r>
              <w:rPr>
                <w:rFonts w:hint="eastAsia" w:eastAsia="仿宋_GB2312"/>
                <w:bCs/>
                <w:sz w:val="24"/>
              </w:rPr>
              <w:t>菌丝生长较差，污染率较高，杂菌菌斑较大</w:t>
            </w:r>
          </w:p>
        </w:tc>
      </w:tr>
    </w:tbl>
    <w:p>
      <w:pPr>
        <w:spacing w:line="400" w:lineRule="exact"/>
        <w:ind w:firstLine="480" w:firstLineChars="200"/>
        <w:rPr>
          <w:rFonts w:hint="eastAsia" w:eastAsia="仿宋_GB2312"/>
          <w:bCs/>
          <w:sz w:val="24"/>
        </w:rPr>
      </w:pPr>
      <w:r>
        <w:rPr>
          <w:rFonts w:hint="eastAsia" w:eastAsia="仿宋_GB2312"/>
          <w:bCs/>
          <w:sz w:val="24"/>
        </w:rPr>
        <w:t>因此，发菌湿度管理应控制在60%～70%。</w:t>
      </w:r>
    </w:p>
    <w:p>
      <w:pPr>
        <w:spacing w:line="400" w:lineRule="exact"/>
        <w:ind w:firstLine="480" w:firstLineChars="200"/>
        <w:rPr>
          <w:rFonts w:hint="eastAsia" w:eastAsia="仿宋_GB2312"/>
          <w:bCs/>
          <w:sz w:val="24"/>
        </w:rPr>
      </w:pPr>
      <w:r>
        <w:rPr>
          <w:rFonts w:hint="eastAsia" w:eastAsia="仿宋_GB2312"/>
          <w:bCs/>
          <w:sz w:val="24"/>
        </w:rPr>
        <w:t>（6）更改了“5 菇棚建设”中出菇棚和发菌棚内容。</w:t>
      </w:r>
    </w:p>
    <w:p>
      <w:pPr>
        <w:spacing w:line="400" w:lineRule="exact"/>
        <w:ind w:firstLine="480" w:firstLineChars="200"/>
        <w:rPr>
          <w:rFonts w:hint="eastAsia" w:eastAsia="仿宋_GB2312"/>
          <w:bCs/>
          <w:sz w:val="24"/>
        </w:rPr>
      </w:pPr>
      <w:r>
        <w:rPr>
          <w:rFonts w:hint="eastAsia" w:eastAsia="仿宋_GB2312"/>
          <w:bCs/>
          <w:sz w:val="24"/>
        </w:rPr>
        <w:t>（7）更改了“8 转色脱袋”中转色和脱袋次序，“8.1转色”中部分内容：“转色环境温度保持在18 ℃～23 ℃，每天通风1～2次，空气湿度保持在60%～70%；整个转色期45 d～50 d。”。修订原因：原文本中没有规定转色期间温度、湿度和通风情况，造成多家企业操作不规范。根据调研得出最佳数据，并增加到修订文本中。</w:t>
      </w:r>
    </w:p>
    <w:p>
      <w:pPr>
        <w:spacing w:line="400" w:lineRule="exact"/>
        <w:ind w:firstLine="480" w:firstLineChars="200"/>
        <w:rPr>
          <w:rFonts w:hint="eastAsia" w:eastAsia="仿宋_GB2312"/>
          <w:bCs/>
          <w:sz w:val="24"/>
        </w:rPr>
      </w:pPr>
      <w:r>
        <w:rPr>
          <w:rFonts w:hint="eastAsia" w:eastAsia="仿宋_GB2312"/>
          <w:bCs/>
          <w:sz w:val="24"/>
        </w:rPr>
        <w:t>（8）增加了“10.3.3养菌管理”中的湿度和温度要求。修订原因：养菌的温度和湿度对养菌效果有重要影响，湿度太低，不利于菌丝生长，湿度太高容易增加污染风险，根据调研结果，得出最适养菌温度18 ℃～23 ℃，湿度80%～90%。</w:t>
      </w:r>
    </w:p>
    <w:p>
      <w:pPr>
        <w:spacing w:line="400" w:lineRule="exact"/>
        <w:ind w:firstLine="480" w:firstLineChars="200"/>
        <w:rPr>
          <w:rFonts w:hint="eastAsia" w:eastAsia="仿宋_GB2312"/>
          <w:bCs/>
          <w:sz w:val="24"/>
        </w:rPr>
      </w:pPr>
      <w:r>
        <w:rPr>
          <w:rFonts w:hint="eastAsia" w:eastAsia="仿宋_GB2312"/>
          <w:bCs/>
          <w:sz w:val="24"/>
        </w:rPr>
        <w:t>（9）增加了“11.2.4生物防控”。修订原因：目前生物防治技术是环保、可持续的，通过以虫治虫、以菌治虫、以菌素治虫杀菌等，利用生物不同特性控制病虫害发生。</w:t>
      </w:r>
    </w:p>
    <w:p>
      <w:pPr>
        <w:spacing w:line="400" w:lineRule="exact"/>
        <w:ind w:firstLine="480" w:firstLineChars="200"/>
        <w:rPr>
          <w:rFonts w:hint="eastAsia" w:eastAsia="仿宋_GB2312"/>
          <w:bCs/>
          <w:sz w:val="24"/>
        </w:rPr>
      </w:pPr>
      <w:r>
        <w:rPr>
          <w:rFonts w:hint="eastAsia" w:eastAsia="仿宋_GB2312"/>
          <w:bCs/>
          <w:sz w:val="24"/>
        </w:rPr>
        <w:t>（10）增加了“附录A生产管理档案”中“表A.1 香菇大棚栽培生产记录”和“表A.2 香菇大棚栽培投入品（农药、肥料、消毒剂等）台账记录”。</w:t>
      </w:r>
    </w:p>
    <w:p>
      <w:pPr>
        <w:spacing w:line="400" w:lineRule="exact"/>
        <w:ind w:firstLine="480" w:firstLineChars="200"/>
        <w:rPr>
          <w:bCs/>
          <w:sz w:val="24"/>
        </w:rPr>
      </w:pPr>
      <w:r>
        <w:rPr>
          <w:rFonts w:hint="eastAsia" w:eastAsia="仿宋_GB2312"/>
          <w:bCs/>
          <w:sz w:val="24"/>
        </w:rPr>
        <w:t>（11）修改了“11.2.1农业防控”、“11.2.2物理防控”中部分表述。修订原因：部分表述不完全，进行修改。</w:t>
      </w:r>
    </w:p>
    <w:p>
      <w:pPr>
        <w:spacing w:line="360" w:lineRule="auto"/>
        <w:ind w:firstLine="480" w:firstLineChars="200"/>
        <w:outlineLvl w:val="0"/>
        <w:rPr>
          <w:rFonts w:ascii="黑体" w:eastAsia="黑体"/>
          <w:sz w:val="24"/>
        </w:rPr>
      </w:pPr>
      <w:r>
        <w:rPr>
          <w:rFonts w:ascii="黑体" w:eastAsia="黑体"/>
          <w:sz w:val="24"/>
        </w:rPr>
        <w:t>六、重大意见分歧的处理依据和结果</w:t>
      </w:r>
    </w:p>
    <w:p>
      <w:pPr>
        <w:spacing w:line="400" w:lineRule="exact"/>
        <w:ind w:firstLine="480" w:firstLineChars="200"/>
        <w:rPr>
          <w:rFonts w:hint="eastAsia" w:eastAsia="仿宋_GB2312"/>
          <w:bCs/>
          <w:sz w:val="24"/>
        </w:rPr>
      </w:pPr>
      <w:r>
        <w:rPr>
          <w:rFonts w:hint="eastAsia" w:eastAsia="仿宋_GB2312"/>
          <w:bCs/>
          <w:sz w:val="24"/>
        </w:rPr>
        <w:t>为保证规程的科学性，起草小组对《香菇大棚生产技术规程》修订稿多次讨论研究，于2023年7月编制完成征求意见稿，并将征求意见稿发函给山西班泽食用菌种植有限公司、山西农业大学生命科学学院、山西省园艺产业发展中心、山西省医药与生命科学研究院、晋中市百果农副产品农民专业合作社等5家单位的专家，进行意见征求，共收到反馈意见5条，其中采纳意见5条，未采纳意见0条，征求意见过程中是未有重大分歧意见。</w:t>
      </w:r>
    </w:p>
    <w:p>
      <w:pPr>
        <w:spacing w:line="400" w:lineRule="exact"/>
        <w:ind w:firstLine="480" w:firstLineChars="200"/>
        <w:rPr>
          <w:sz w:val="24"/>
        </w:rPr>
      </w:pPr>
      <w:r>
        <w:rPr>
          <w:rFonts w:hint="eastAsia" w:eastAsia="仿宋_GB2312"/>
          <w:bCs/>
          <w:sz w:val="24"/>
        </w:rPr>
        <w:t>起草小组根据5位专家的意见进行修改，最终形成《香菇大棚生产技术规程》山西省地方标准征求意见汇总表，并根据征求意见汇总表修改形成了《香菇大棚生产技术规程》山西省地方标准送审讨论稿。</w:t>
      </w:r>
    </w:p>
    <w:p>
      <w:pPr>
        <w:spacing w:line="360" w:lineRule="auto"/>
        <w:ind w:firstLine="480" w:firstLineChars="200"/>
        <w:outlineLvl w:val="0"/>
        <w:rPr>
          <w:rFonts w:ascii="黑体" w:eastAsia="黑体"/>
          <w:sz w:val="24"/>
        </w:rPr>
      </w:pPr>
      <w:r>
        <w:rPr>
          <w:rFonts w:ascii="黑体" w:eastAsia="黑体"/>
          <w:sz w:val="24"/>
        </w:rPr>
        <w:t>七、采标情况，是否合规引用或采用国际标准和国外先进标准，以及与国内外同类标准水平的对比情况</w:t>
      </w:r>
    </w:p>
    <w:p>
      <w:pPr>
        <w:spacing w:line="400" w:lineRule="exact"/>
        <w:ind w:firstLine="480" w:firstLineChars="200"/>
        <w:rPr>
          <w:rFonts w:hint="eastAsia" w:eastAsia="仿宋_GB2312"/>
          <w:bCs/>
          <w:sz w:val="24"/>
        </w:rPr>
      </w:pPr>
      <w:r>
        <w:rPr>
          <w:rFonts w:hint="eastAsia" w:eastAsia="仿宋_GB2312"/>
          <w:bCs/>
          <w:sz w:val="24"/>
        </w:rPr>
        <w:t>本规程采用标准情况如下：</w:t>
      </w:r>
    </w:p>
    <w:p>
      <w:pPr>
        <w:spacing w:line="400" w:lineRule="exact"/>
        <w:ind w:firstLine="480" w:firstLineChars="200"/>
        <w:rPr>
          <w:rFonts w:hint="eastAsia" w:eastAsia="仿宋_GB2312"/>
          <w:bCs/>
          <w:sz w:val="24"/>
        </w:rPr>
      </w:pPr>
      <w:r>
        <w:rPr>
          <w:rFonts w:hint="eastAsia" w:eastAsia="仿宋_GB2312"/>
          <w:bCs/>
          <w:sz w:val="24"/>
        </w:rPr>
        <w:t>GB 4806.7 食品安全国家标准 食品接触用塑料材料及制品</w:t>
      </w:r>
    </w:p>
    <w:p>
      <w:pPr>
        <w:spacing w:line="400" w:lineRule="exact"/>
        <w:ind w:firstLine="480" w:firstLineChars="200"/>
        <w:rPr>
          <w:rFonts w:hint="eastAsia" w:eastAsia="仿宋_GB2312"/>
          <w:bCs/>
          <w:sz w:val="24"/>
        </w:rPr>
      </w:pPr>
      <w:r>
        <w:rPr>
          <w:rFonts w:hint="eastAsia" w:eastAsia="仿宋_GB2312"/>
          <w:bCs/>
          <w:sz w:val="24"/>
        </w:rPr>
        <w:t>GB 5749 生活饮用水卫生标准</w:t>
      </w:r>
    </w:p>
    <w:p>
      <w:pPr>
        <w:spacing w:line="400" w:lineRule="exact"/>
        <w:ind w:firstLine="480" w:firstLineChars="200"/>
        <w:rPr>
          <w:rFonts w:hint="eastAsia" w:eastAsia="仿宋_GB2312"/>
          <w:bCs/>
          <w:sz w:val="24"/>
        </w:rPr>
      </w:pPr>
      <w:r>
        <w:rPr>
          <w:rFonts w:hint="eastAsia" w:eastAsia="仿宋_GB2312"/>
          <w:bCs/>
          <w:sz w:val="24"/>
        </w:rPr>
        <w:t>GB/T 8321 农药合理使用准则</w:t>
      </w:r>
    </w:p>
    <w:p>
      <w:pPr>
        <w:spacing w:line="400" w:lineRule="exact"/>
        <w:ind w:firstLine="480" w:firstLineChars="200"/>
        <w:rPr>
          <w:rFonts w:hint="eastAsia" w:eastAsia="仿宋_GB2312"/>
          <w:bCs/>
          <w:sz w:val="24"/>
        </w:rPr>
      </w:pPr>
      <w:r>
        <w:rPr>
          <w:rFonts w:hint="eastAsia" w:eastAsia="仿宋_GB2312"/>
          <w:bCs/>
          <w:sz w:val="24"/>
        </w:rPr>
        <w:t>GB/T 12728 食用菌术语</w:t>
      </w:r>
    </w:p>
    <w:p>
      <w:pPr>
        <w:spacing w:line="400" w:lineRule="exact"/>
        <w:ind w:firstLine="480" w:firstLineChars="200"/>
        <w:rPr>
          <w:rFonts w:hint="eastAsia" w:eastAsia="仿宋_GB2312"/>
          <w:bCs/>
          <w:sz w:val="24"/>
        </w:rPr>
      </w:pPr>
      <w:r>
        <w:rPr>
          <w:rFonts w:hint="eastAsia" w:eastAsia="仿宋_GB2312"/>
          <w:bCs/>
          <w:sz w:val="24"/>
        </w:rPr>
        <w:t>GB 19170 香菇菌种</w:t>
      </w:r>
    </w:p>
    <w:p>
      <w:pPr>
        <w:spacing w:line="400" w:lineRule="exact"/>
        <w:ind w:firstLine="480" w:firstLineChars="200"/>
        <w:rPr>
          <w:rFonts w:hint="eastAsia" w:eastAsia="仿宋_GB2312"/>
          <w:bCs/>
          <w:sz w:val="24"/>
        </w:rPr>
      </w:pPr>
      <w:r>
        <w:rPr>
          <w:rFonts w:hint="eastAsia" w:eastAsia="仿宋_GB2312"/>
          <w:bCs/>
          <w:sz w:val="24"/>
        </w:rPr>
        <w:t>GB/Z 26587 香菇生产技术规范</w:t>
      </w:r>
    </w:p>
    <w:p>
      <w:pPr>
        <w:spacing w:line="400" w:lineRule="exact"/>
        <w:ind w:firstLine="480" w:firstLineChars="200"/>
        <w:rPr>
          <w:rFonts w:hint="eastAsia" w:eastAsia="仿宋_GB2312"/>
          <w:bCs/>
          <w:sz w:val="24"/>
        </w:rPr>
      </w:pPr>
      <w:r>
        <w:rPr>
          <w:rFonts w:hint="eastAsia" w:eastAsia="仿宋_GB2312"/>
          <w:bCs/>
          <w:sz w:val="24"/>
        </w:rPr>
        <w:t>GB/T 30768 食品包装用纸与塑料复合膜、袋</w:t>
      </w:r>
    </w:p>
    <w:p>
      <w:pPr>
        <w:spacing w:line="400" w:lineRule="exact"/>
        <w:ind w:firstLine="480" w:firstLineChars="200"/>
        <w:rPr>
          <w:sz w:val="24"/>
        </w:rPr>
      </w:pPr>
      <w:r>
        <w:rPr>
          <w:rFonts w:hint="eastAsia" w:eastAsia="仿宋_GB2312"/>
          <w:bCs/>
          <w:sz w:val="24"/>
        </w:rPr>
        <w:t>引用文件中，GB/Z 26587 《香菇生产技术规范》规定了香菇生产的基本要求，主要包括基地选择与管理、投入品管理、生产技术管理、有害生物防治、劳动保护、批次管理、档案记录等方面。本文件与引用文件的主要区别在于，本文件规定了香菇大棚生产的产地环境、菇棚建设、菌袋生产、发菌管理、脱袋转色、催蕾出菇、采收及采后管理、病虫害防控、生产管理档案等方面。尤其是菇棚建设部分，详细介绍了我省现有生产技术中的菇棚类型，包括单层出菇棚、反季节双层出菇棚、三层出菇棚和发菌棚。有重要的修订意义。</w:t>
      </w:r>
    </w:p>
    <w:p>
      <w:pPr>
        <w:spacing w:line="360" w:lineRule="auto"/>
        <w:ind w:firstLine="480" w:firstLineChars="200"/>
        <w:outlineLvl w:val="0"/>
        <w:rPr>
          <w:rFonts w:ascii="黑体" w:eastAsia="黑体"/>
          <w:sz w:val="24"/>
        </w:rPr>
      </w:pPr>
      <w:r>
        <w:rPr>
          <w:rFonts w:ascii="黑体" w:eastAsia="黑体"/>
          <w:sz w:val="24"/>
        </w:rPr>
        <w:t>八、作为推荐性标准或者强制性标准的建议及其理由。</w:t>
      </w:r>
    </w:p>
    <w:p>
      <w:pPr>
        <w:spacing w:line="400" w:lineRule="exact"/>
        <w:ind w:firstLine="480" w:firstLineChars="200"/>
        <w:rPr>
          <w:rFonts w:hint="eastAsia" w:eastAsia="仿宋_GB2312"/>
          <w:bCs/>
          <w:sz w:val="24"/>
        </w:rPr>
      </w:pPr>
      <w:r>
        <w:rPr>
          <w:rFonts w:hint="eastAsia" w:eastAsia="仿宋_GB2312"/>
          <w:bCs/>
          <w:sz w:val="24"/>
        </w:rPr>
        <w:t>建议本标准为推荐性标准。</w:t>
      </w:r>
    </w:p>
    <w:p>
      <w:pPr>
        <w:spacing w:line="360" w:lineRule="auto"/>
        <w:ind w:firstLine="480" w:firstLineChars="200"/>
        <w:outlineLvl w:val="0"/>
        <w:rPr>
          <w:rFonts w:ascii="黑体" w:eastAsia="黑体"/>
          <w:sz w:val="24"/>
        </w:rPr>
      </w:pPr>
      <w:r>
        <w:rPr>
          <w:rFonts w:ascii="黑体" w:eastAsia="黑体"/>
          <w:sz w:val="24"/>
        </w:rPr>
        <w:t>九、实施标准的措施建议</w:t>
      </w:r>
    </w:p>
    <w:p>
      <w:pPr>
        <w:spacing w:line="360" w:lineRule="auto"/>
        <w:ind w:firstLine="480" w:firstLineChars="200"/>
        <w:jc w:val="left"/>
        <w:rPr>
          <w:rFonts w:ascii="仿宋_GB2312" w:hAnsi="宋体" w:eastAsia="仿宋_GB2312"/>
          <w:sz w:val="24"/>
        </w:rPr>
        <w:sectPr>
          <w:footerReference r:id="rId3" w:type="default"/>
          <w:pgSz w:w="11906" w:h="16838"/>
          <w:pgMar w:top="1440" w:right="1803" w:bottom="1440" w:left="1803" w:header="851" w:footer="992" w:gutter="0"/>
          <w:pgNumType w:start="1"/>
          <w:cols w:space="0" w:num="1"/>
          <w:titlePg/>
          <w:docGrid w:type="lines" w:linePitch="319" w:charSpace="0"/>
        </w:sectPr>
      </w:pPr>
      <w:r>
        <w:rPr>
          <w:rFonts w:hint="eastAsia" w:eastAsia="仿宋_GB2312"/>
          <w:bCs/>
          <w:sz w:val="24"/>
        </w:rPr>
        <w:t>标准起草单位，在全省范围内由科技人员深入企业、专业合作社、农户进行现场观摩和举办培训，针对生产关键环节、关键技术进行培训，在香菇主产区进行技术指导，保证标准的推广和有效实施。</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附表</w:t>
      </w:r>
    </w:p>
    <w:p>
      <w:pPr>
        <w:jc w:val="center"/>
        <w:rPr>
          <w:rFonts w:ascii="仿宋_GB2312" w:hAnsi="宋体" w:eastAsia="仿宋_GB2312"/>
          <w:sz w:val="24"/>
        </w:rPr>
      </w:pPr>
    </w:p>
    <w:p>
      <w:pPr>
        <w:jc w:val="center"/>
        <w:rPr>
          <w:rFonts w:ascii="仿宋_GB2312" w:hAnsi="宋体" w:eastAsia="仿宋_GB2312"/>
          <w:sz w:val="24"/>
        </w:rPr>
      </w:pPr>
      <w:r>
        <w:rPr>
          <w:rFonts w:hint="eastAsia" w:ascii="仿宋_GB2312" w:hAnsi="宋体" w:eastAsia="仿宋_GB2312"/>
          <w:sz w:val="24"/>
        </w:rPr>
        <w:t>香菇大棚生产技术规程地方标准征求意见汇总处理表</w:t>
      </w:r>
    </w:p>
    <w:p>
      <w:pPr>
        <w:jc w:val="center"/>
        <w:rPr>
          <w:rFonts w:ascii="仿宋_GB2312" w:hAnsi="宋体" w:eastAsia="仿宋_GB2312"/>
          <w:sz w:val="24"/>
        </w:rPr>
      </w:pPr>
    </w:p>
    <w:p>
      <w:pPr>
        <w:jc w:val="center"/>
        <w:rPr>
          <w:rFonts w:ascii="仿宋_GB2312" w:hAnsi="宋体" w:eastAsia="仿宋_GB2312"/>
          <w:sz w:val="24"/>
        </w:rPr>
      </w:pPr>
      <w:r>
        <w:rPr>
          <w:rFonts w:hint="eastAsia" w:ascii="仿宋_GB2312" w:hAnsi="宋体" w:eastAsia="仿宋_GB2312"/>
          <w:sz w:val="24"/>
        </w:rPr>
        <w:t>起草单位：山西农业大学</w:t>
      </w:r>
      <w:r>
        <w:rPr>
          <w:rFonts w:ascii="仿宋_GB2312" w:hAnsi="宋体" w:eastAsia="仿宋_GB2312"/>
          <w:sz w:val="24"/>
        </w:rPr>
        <w:t xml:space="preserve">         </w:t>
      </w:r>
      <w:r>
        <w:rPr>
          <w:rFonts w:hint="eastAsia" w:ascii="仿宋_GB2312" w:hAnsi="宋体" w:eastAsia="仿宋_GB2312"/>
          <w:sz w:val="24"/>
        </w:rPr>
        <w:t>承办人：朱敏</w:t>
      </w:r>
      <w:r>
        <w:rPr>
          <w:rFonts w:ascii="仿宋_GB2312" w:hAnsi="宋体" w:eastAsia="仿宋_GB2312"/>
          <w:sz w:val="24"/>
        </w:rPr>
        <w:t xml:space="preserve">         </w:t>
      </w:r>
      <w:r>
        <w:rPr>
          <w:rFonts w:hint="eastAsia" w:ascii="仿宋_GB2312" w:hAnsi="宋体" w:eastAsia="仿宋_GB2312"/>
          <w:sz w:val="24"/>
        </w:rPr>
        <w:t>联系电话：18634309622</w:t>
      </w:r>
      <w:r>
        <w:rPr>
          <w:rFonts w:ascii="仿宋_GB2312" w:hAnsi="宋体" w:eastAsia="仿宋_GB2312"/>
          <w:sz w:val="24"/>
        </w:rPr>
        <w:t xml:space="preserve">              </w:t>
      </w:r>
      <w:r>
        <w:rPr>
          <w:rFonts w:hint="eastAsia" w:ascii="仿宋_GB2312" w:hAnsi="宋体" w:eastAsia="仿宋_GB2312"/>
          <w:sz w:val="24"/>
        </w:rPr>
        <w:t>填写时间</w:t>
      </w:r>
      <w:r>
        <w:rPr>
          <w:rFonts w:ascii="仿宋_GB2312" w:hAnsi="宋体" w:eastAsia="仿宋_GB2312"/>
          <w:sz w:val="24"/>
        </w:rPr>
        <w:t xml:space="preserve"> </w:t>
      </w:r>
      <w:r>
        <w:rPr>
          <w:rFonts w:hint="eastAsia" w:ascii="仿宋_GB2312" w:hAnsi="宋体" w:eastAsia="仿宋_GB2312"/>
          <w:sz w:val="24"/>
        </w:rPr>
        <w:t>：2024年</w:t>
      </w:r>
      <w:r>
        <w:rPr>
          <w:rFonts w:ascii="仿宋_GB2312" w:hAnsi="宋体" w:eastAsia="仿宋_GB2312"/>
          <w:sz w:val="24"/>
        </w:rPr>
        <w:t xml:space="preserve">  </w:t>
      </w:r>
      <w:r>
        <w:rPr>
          <w:rFonts w:hint="eastAsia" w:ascii="仿宋_GB2312" w:hAnsi="宋体" w:eastAsia="仿宋_GB2312"/>
          <w:sz w:val="24"/>
        </w:rPr>
        <w:t>1</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rPr>
        <w:t>12日</w:t>
      </w:r>
    </w:p>
    <w:tbl>
      <w:tblPr>
        <w:tblStyle w:val="12"/>
        <w:tblW w:w="14310"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816"/>
        <w:gridCol w:w="1607"/>
        <w:gridCol w:w="7406"/>
        <w:gridCol w:w="2181"/>
        <w:gridCol w:w="1220"/>
        <w:gridCol w:w="1080"/>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62" w:hRule="atLeast"/>
          <w:jc w:val="center"/>
        </w:trPr>
        <w:tc>
          <w:tcPr>
            <w:tcW w:w="816" w:type="dxa"/>
            <w:tcBorders>
              <w:top w:val="single" w:color="auto" w:sz="12" w:space="0"/>
              <w:left w:val="single" w:color="auto" w:sz="12" w:space="0"/>
              <w:bottom w:val="single" w:color="auto" w:sz="2" w:space="0"/>
              <w:right w:val="single" w:color="auto" w:sz="2" w:space="0"/>
            </w:tcBorders>
            <w:shd w:val="clear" w:color="auto" w:fill="auto"/>
            <w:vAlign w:val="center"/>
          </w:tcPr>
          <w:p>
            <w:pPr>
              <w:widowControl/>
              <w:spacing w:beforeAutospacing="1" w:afterAutospacing="1"/>
              <w:jc w:val="center"/>
              <w:rPr>
                <w:rFonts w:ascii="仿宋_GB2312" w:hAnsi="宋体" w:eastAsia="仿宋_GB2312"/>
                <w:sz w:val="24"/>
              </w:rPr>
            </w:pPr>
            <w:r>
              <w:rPr>
                <w:rFonts w:hint="eastAsia" w:ascii="仿宋_GB2312" w:hAnsi="宋体" w:eastAsia="仿宋_GB2312"/>
                <w:sz w:val="24"/>
              </w:rPr>
              <w:t>序号</w:t>
            </w:r>
          </w:p>
        </w:tc>
        <w:tc>
          <w:tcPr>
            <w:tcW w:w="1608" w:type="dxa"/>
            <w:tcBorders>
              <w:top w:val="single" w:color="auto" w:sz="12" w:space="0"/>
              <w:left w:val="single" w:color="auto" w:sz="2" w:space="0"/>
              <w:bottom w:val="single" w:color="auto" w:sz="2" w:space="0"/>
              <w:right w:val="single" w:color="auto" w:sz="2" w:space="0"/>
            </w:tcBorders>
            <w:shd w:val="clear" w:color="auto" w:fill="auto"/>
            <w:vAlign w:val="center"/>
          </w:tcPr>
          <w:p>
            <w:pPr>
              <w:widowControl/>
              <w:spacing w:beforeAutospacing="1" w:afterAutospacing="1"/>
              <w:jc w:val="center"/>
              <w:rPr>
                <w:rFonts w:ascii="仿宋_GB2312" w:hAnsi="宋体" w:eastAsia="仿宋_GB2312"/>
                <w:sz w:val="24"/>
              </w:rPr>
            </w:pPr>
            <w:r>
              <w:rPr>
                <w:rFonts w:hint="eastAsia" w:ascii="仿宋_GB2312" w:hAnsi="宋体" w:eastAsia="仿宋_GB2312"/>
                <w:sz w:val="24"/>
              </w:rPr>
              <w:t>章条编号</w:t>
            </w:r>
          </w:p>
        </w:tc>
        <w:tc>
          <w:tcPr>
            <w:tcW w:w="7409" w:type="dxa"/>
            <w:tcBorders>
              <w:top w:val="single" w:color="auto" w:sz="12" w:space="0"/>
              <w:left w:val="single" w:color="auto" w:sz="2" w:space="0"/>
              <w:bottom w:val="single" w:color="auto" w:sz="2" w:space="0"/>
              <w:right w:val="single" w:color="auto" w:sz="2" w:space="0"/>
            </w:tcBorders>
            <w:shd w:val="clear" w:color="auto" w:fill="auto"/>
            <w:vAlign w:val="center"/>
          </w:tcPr>
          <w:p>
            <w:pPr>
              <w:widowControl/>
              <w:spacing w:beforeAutospacing="1" w:afterAutospacing="1"/>
              <w:ind w:firstLine="420"/>
              <w:jc w:val="center"/>
              <w:rPr>
                <w:rFonts w:ascii="仿宋_GB2312" w:hAnsi="宋体" w:eastAsia="仿宋_GB2312"/>
                <w:sz w:val="24"/>
              </w:rPr>
            </w:pPr>
            <w:r>
              <w:rPr>
                <w:rFonts w:hint="eastAsia" w:ascii="仿宋_GB2312" w:hAnsi="宋体" w:eastAsia="仿宋_GB2312"/>
                <w:sz w:val="24"/>
              </w:rPr>
              <w:t>意见内容</w:t>
            </w:r>
          </w:p>
        </w:tc>
        <w:tc>
          <w:tcPr>
            <w:tcW w:w="2182" w:type="dxa"/>
            <w:tcBorders>
              <w:top w:val="single" w:color="auto" w:sz="12" w:space="0"/>
              <w:left w:val="single" w:color="auto" w:sz="2" w:space="0"/>
              <w:bottom w:val="single" w:color="auto" w:sz="2" w:space="0"/>
              <w:right w:val="single" w:color="auto" w:sz="2" w:space="0"/>
            </w:tcBorders>
            <w:shd w:val="clear" w:color="auto" w:fill="auto"/>
            <w:vAlign w:val="center"/>
          </w:tcPr>
          <w:p>
            <w:pPr>
              <w:widowControl/>
              <w:spacing w:beforeAutospacing="1" w:afterAutospacing="1"/>
              <w:jc w:val="center"/>
              <w:rPr>
                <w:rFonts w:ascii="仿宋_GB2312" w:hAnsi="宋体" w:eastAsia="仿宋_GB2312"/>
                <w:sz w:val="24"/>
              </w:rPr>
            </w:pPr>
            <w:r>
              <w:rPr>
                <w:rFonts w:hint="eastAsia" w:ascii="仿宋_GB2312" w:hAnsi="宋体" w:eastAsia="仿宋_GB2312"/>
                <w:sz w:val="24"/>
              </w:rPr>
              <w:t>提出单位</w:t>
            </w:r>
          </w:p>
        </w:tc>
        <w:tc>
          <w:tcPr>
            <w:tcW w:w="1220" w:type="dxa"/>
            <w:tcBorders>
              <w:top w:val="single" w:color="auto" w:sz="12" w:space="0"/>
              <w:left w:val="single" w:color="auto" w:sz="2" w:space="0"/>
              <w:bottom w:val="single" w:color="auto" w:sz="2" w:space="0"/>
              <w:right w:val="single" w:color="auto" w:sz="2" w:space="0"/>
            </w:tcBorders>
            <w:shd w:val="clear" w:color="auto" w:fill="auto"/>
            <w:vAlign w:val="center"/>
          </w:tcPr>
          <w:p>
            <w:pPr>
              <w:widowControl/>
              <w:spacing w:beforeAutospacing="1" w:afterAutospacing="1"/>
              <w:jc w:val="center"/>
              <w:rPr>
                <w:rFonts w:ascii="仿宋_GB2312" w:hAnsi="宋体" w:eastAsia="仿宋_GB2312"/>
                <w:sz w:val="24"/>
              </w:rPr>
            </w:pPr>
            <w:r>
              <w:rPr>
                <w:rFonts w:hint="eastAsia" w:ascii="仿宋_GB2312" w:hAnsi="宋体" w:eastAsia="仿宋_GB2312"/>
                <w:sz w:val="24"/>
              </w:rPr>
              <w:t>处理意见</w:t>
            </w:r>
          </w:p>
        </w:tc>
        <w:tc>
          <w:tcPr>
            <w:tcW w:w="1080" w:type="dxa"/>
            <w:tcBorders>
              <w:top w:val="single" w:color="auto" w:sz="12" w:space="0"/>
              <w:left w:val="single" w:color="auto" w:sz="2" w:space="0"/>
              <w:bottom w:val="single" w:color="auto" w:sz="2" w:space="0"/>
              <w:right w:val="single" w:color="auto" w:sz="12" w:space="0"/>
            </w:tcBorders>
            <w:shd w:val="clear" w:color="auto" w:fill="auto"/>
            <w:vAlign w:val="center"/>
          </w:tcPr>
          <w:p>
            <w:pPr>
              <w:widowControl/>
              <w:spacing w:beforeAutospacing="1" w:afterAutospacing="1"/>
              <w:ind w:firstLine="228" w:firstLineChars="95"/>
              <w:jc w:val="center"/>
              <w:rPr>
                <w:rFonts w:ascii="仿宋_GB2312" w:hAnsi="宋体" w:eastAsia="仿宋_GB2312"/>
                <w:sz w:val="24"/>
              </w:rPr>
            </w:pPr>
            <w:r>
              <w:rPr>
                <w:rFonts w:hint="eastAsia" w:ascii="仿宋_GB2312" w:hAnsi="宋体" w:eastAsia="仿宋_GB2312"/>
                <w:sz w:val="24"/>
              </w:rPr>
              <w:t>备注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55" w:hRule="atLeast"/>
          <w:jc w:val="center"/>
        </w:trPr>
        <w:tc>
          <w:tcPr>
            <w:tcW w:w="816" w:type="dxa"/>
            <w:tcBorders>
              <w:top w:val="single" w:color="auto" w:sz="2" w:space="0"/>
              <w:left w:val="single" w:color="auto" w:sz="12" w:space="0"/>
              <w:bottom w:val="single" w:color="auto" w:sz="2" w:space="0"/>
              <w:right w:val="single" w:color="auto" w:sz="2" w:space="0"/>
            </w:tcBorders>
            <w:shd w:val="clear" w:color="auto" w:fill="auto"/>
            <w:vAlign w:val="center"/>
          </w:tcPr>
          <w:p>
            <w:pPr>
              <w:widowControl/>
              <w:spacing w:beforeAutospacing="1" w:afterAutospacing="1"/>
              <w:jc w:val="center"/>
              <w:rPr>
                <w:rFonts w:ascii="仿宋_GB2312" w:hAnsi="宋体" w:eastAsia="仿宋_GB2312"/>
                <w:sz w:val="24"/>
              </w:rPr>
            </w:pPr>
            <w:r>
              <w:rPr>
                <w:rFonts w:ascii="仿宋_GB2312" w:hAnsi="宋体" w:eastAsia="仿宋_GB2312"/>
                <w:sz w:val="24"/>
              </w:rPr>
              <w:t>1</w:t>
            </w:r>
          </w:p>
        </w:tc>
        <w:tc>
          <w:tcPr>
            <w:tcW w:w="1608"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6.3</w:t>
            </w:r>
          </w:p>
        </w:tc>
        <w:tc>
          <w:tcPr>
            <w:tcW w:w="7409"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增加配方一中pH含量要求，增加配方二中含水量和pH含量要求，增加配方三内容</w:t>
            </w:r>
          </w:p>
        </w:tc>
        <w:tc>
          <w:tcPr>
            <w:tcW w:w="2182"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山西班泽食用菌种植有限公司</w:t>
            </w:r>
          </w:p>
        </w:tc>
        <w:tc>
          <w:tcPr>
            <w:tcW w:w="1220"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采纳</w:t>
            </w:r>
          </w:p>
        </w:tc>
        <w:tc>
          <w:tcPr>
            <w:tcW w:w="1080" w:type="dxa"/>
            <w:tcBorders>
              <w:top w:val="single" w:color="auto" w:sz="2" w:space="0"/>
              <w:left w:val="single" w:color="auto" w:sz="2" w:space="0"/>
              <w:bottom w:val="single" w:color="auto" w:sz="2" w:space="0"/>
              <w:right w:val="single" w:color="auto" w:sz="12" w:space="0"/>
            </w:tcBorders>
            <w:shd w:val="clear" w:color="auto" w:fill="auto"/>
            <w:vAlign w:val="center"/>
          </w:tcPr>
          <w:p>
            <w:pPr>
              <w:widowControl/>
              <w:spacing w:beforeAutospacing="1" w:afterAutospacing="1"/>
              <w:ind w:firstLine="420"/>
              <w:jc w:val="center"/>
              <w:rPr>
                <w:rFonts w:ascii="仿宋_GB2312" w:hAnsi="宋体"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58" w:hRule="atLeast"/>
          <w:jc w:val="center"/>
        </w:trPr>
        <w:tc>
          <w:tcPr>
            <w:tcW w:w="816" w:type="dxa"/>
            <w:tcBorders>
              <w:top w:val="single" w:color="auto" w:sz="2" w:space="0"/>
              <w:left w:val="single" w:color="auto" w:sz="12" w:space="0"/>
              <w:bottom w:val="single" w:color="auto" w:sz="2" w:space="0"/>
              <w:right w:val="single" w:color="auto" w:sz="2" w:space="0"/>
            </w:tcBorders>
            <w:shd w:val="clear" w:color="auto" w:fill="auto"/>
            <w:vAlign w:val="center"/>
          </w:tcPr>
          <w:p>
            <w:pPr>
              <w:widowControl/>
              <w:spacing w:beforeAutospacing="1" w:afterAutospacing="1"/>
              <w:jc w:val="center"/>
              <w:rPr>
                <w:rFonts w:ascii="仿宋_GB2312" w:hAnsi="宋体" w:eastAsia="仿宋_GB2312"/>
                <w:sz w:val="24"/>
              </w:rPr>
            </w:pPr>
            <w:r>
              <w:rPr>
                <w:rFonts w:ascii="仿宋_GB2312" w:hAnsi="宋体" w:eastAsia="仿宋_GB2312"/>
                <w:sz w:val="24"/>
              </w:rPr>
              <w:t>2</w:t>
            </w:r>
          </w:p>
        </w:tc>
        <w:tc>
          <w:tcPr>
            <w:tcW w:w="1608"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7.4，7.5</w:t>
            </w:r>
          </w:p>
        </w:tc>
        <w:tc>
          <w:tcPr>
            <w:tcW w:w="7409"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更改空气相对湿度范围，增加刺孔的规格和数量</w:t>
            </w:r>
          </w:p>
        </w:tc>
        <w:tc>
          <w:tcPr>
            <w:tcW w:w="2182"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山西农业大学生命科学学院</w:t>
            </w:r>
          </w:p>
        </w:tc>
        <w:tc>
          <w:tcPr>
            <w:tcW w:w="1220"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采纳</w:t>
            </w:r>
          </w:p>
        </w:tc>
        <w:tc>
          <w:tcPr>
            <w:tcW w:w="1080" w:type="dxa"/>
            <w:tcBorders>
              <w:top w:val="single" w:color="auto" w:sz="2" w:space="0"/>
              <w:left w:val="single" w:color="auto" w:sz="2" w:space="0"/>
              <w:bottom w:val="single" w:color="auto" w:sz="2" w:space="0"/>
              <w:right w:val="single" w:color="auto" w:sz="12" w:space="0"/>
            </w:tcBorders>
            <w:shd w:val="clear" w:color="auto" w:fill="auto"/>
            <w:vAlign w:val="center"/>
          </w:tcPr>
          <w:p>
            <w:pPr>
              <w:widowControl/>
              <w:spacing w:beforeAutospacing="1" w:afterAutospacing="1"/>
              <w:ind w:firstLine="420"/>
              <w:jc w:val="center"/>
              <w:rPr>
                <w:rFonts w:ascii="仿宋_GB2312" w:hAnsi="宋体"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90" w:hRule="atLeast"/>
          <w:jc w:val="center"/>
        </w:trPr>
        <w:tc>
          <w:tcPr>
            <w:tcW w:w="816" w:type="dxa"/>
            <w:tcBorders>
              <w:top w:val="single" w:color="auto" w:sz="2" w:space="0"/>
              <w:left w:val="single" w:color="auto" w:sz="12" w:space="0"/>
              <w:bottom w:val="single" w:color="auto" w:sz="2" w:space="0"/>
              <w:right w:val="single" w:color="auto" w:sz="2" w:space="0"/>
            </w:tcBorders>
            <w:shd w:val="clear" w:color="auto" w:fill="auto"/>
            <w:vAlign w:val="center"/>
          </w:tcPr>
          <w:p>
            <w:pPr>
              <w:widowControl/>
              <w:spacing w:beforeAutospacing="1" w:afterAutospacing="1"/>
              <w:jc w:val="center"/>
              <w:rPr>
                <w:rFonts w:ascii="仿宋_GB2312" w:hAnsi="宋体" w:eastAsia="仿宋_GB2312"/>
                <w:sz w:val="24"/>
              </w:rPr>
            </w:pPr>
            <w:r>
              <w:rPr>
                <w:rFonts w:ascii="仿宋_GB2312" w:hAnsi="宋体" w:eastAsia="仿宋_GB2312"/>
                <w:sz w:val="24"/>
              </w:rPr>
              <w:t>3</w:t>
            </w:r>
          </w:p>
        </w:tc>
        <w:tc>
          <w:tcPr>
            <w:tcW w:w="1608"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8.2</w:t>
            </w:r>
          </w:p>
        </w:tc>
        <w:tc>
          <w:tcPr>
            <w:tcW w:w="7409"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增加转色温度、湿度，一级专色时间指标</w:t>
            </w:r>
          </w:p>
        </w:tc>
        <w:tc>
          <w:tcPr>
            <w:tcW w:w="2182"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晋中市百果农副产品农民专业合作社</w:t>
            </w:r>
          </w:p>
        </w:tc>
        <w:tc>
          <w:tcPr>
            <w:tcW w:w="1220"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采纳</w:t>
            </w:r>
          </w:p>
        </w:tc>
        <w:tc>
          <w:tcPr>
            <w:tcW w:w="1080" w:type="dxa"/>
            <w:tcBorders>
              <w:top w:val="single" w:color="auto" w:sz="2" w:space="0"/>
              <w:left w:val="single" w:color="auto" w:sz="2" w:space="0"/>
              <w:bottom w:val="single" w:color="auto" w:sz="2" w:space="0"/>
              <w:right w:val="single" w:color="auto" w:sz="12" w:space="0"/>
            </w:tcBorders>
            <w:shd w:val="clear" w:color="auto" w:fill="auto"/>
            <w:vAlign w:val="center"/>
          </w:tcPr>
          <w:p>
            <w:pPr>
              <w:widowControl/>
              <w:spacing w:beforeAutospacing="1" w:afterAutospacing="1"/>
              <w:ind w:firstLine="420"/>
              <w:jc w:val="center"/>
              <w:rPr>
                <w:rFonts w:ascii="仿宋_GB2312" w:hAnsi="宋体"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15" w:hRule="atLeast"/>
          <w:jc w:val="center"/>
        </w:trPr>
        <w:tc>
          <w:tcPr>
            <w:tcW w:w="816" w:type="dxa"/>
            <w:tcBorders>
              <w:top w:val="single" w:color="auto" w:sz="2" w:space="0"/>
              <w:left w:val="single" w:color="auto" w:sz="12" w:space="0"/>
              <w:bottom w:val="single" w:color="auto" w:sz="2" w:space="0"/>
              <w:right w:val="single" w:color="auto" w:sz="2" w:space="0"/>
            </w:tcBorders>
            <w:shd w:val="clear" w:color="auto" w:fill="auto"/>
            <w:vAlign w:val="center"/>
          </w:tcPr>
          <w:p>
            <w:pPr>
              <w:widowControl/>
              <w:spacing w:beforeAutospacing="1" w:afterAutospacing="1"/>
              <w:jc w:val="center"/>
              <w:rPr>
                <w:rFonts w:ascii="仿宋_GB2312" w:hAnsi="宋体" w:eastAsia="仿宋_GB2312"/>
                <w:sz w:val="24"/>
              </w:rPr>
            </w:pPr>
            <w:r>
              <w:rPr>
                <w:rFonts w:ascii="仿宋_GB2312" w:hAnsi="宋体" w:eastAsia="仿宋_GB2312"/>
                <w:sz w:val="24"/>
              </w:rPr>
              <w:t>4</w:t>
            </w:r>
          </w:p>
        </w:tc>
        <w:tc>
          <w:tcPr>
            <w:tcW w:w="1608"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11.2</w:t>
            </w:r>
          </w:p>
        </w:tc>
        <w:tc>
          <w:tcPr>
            <w:tcW w:w="7409"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修改防治方法部分内容，并增加生物防治方法</w:t>
            </w:r>
          </w:p>
        </w:tc>
        <w:tc>
          <w:tcPr>
            <w:tcW w:w="2182"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山西省园艺产业发展中心</w:t>
            </w:r>
          </w:p>
        </w:tc>
        <w:tc>
          <w:tcPr>
            <w:tcW w:w="1220"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采纳</w:t>
            </w:r>
          </w:p>
        </w:tc>
        <w:tc>
          <w:tcPr>
            <w:tcW w:w="1080" w:type="dxa"/>
            <w:tcBorders>
              <w:top w:val="single" w:color="auto" w:sz="2" w:space="0"/>
              <w:left w:val="single" w:color="auto" w:sz="2" w:space="0"/>
              <w:bottom w:val="single" w:color="auto" w:sz="2" w:space="0"/>
              <w:right w:val="single" w:color="auto" w:sz="12" w:space="0"/>
            </w:tcBorders>
            <w:shd w:val="clear" w:color="auto" w:fill="auto"/>
            <w:vAlign w:val="center"/>
          </w:tcPr>
          <w:p>
            <w:pPr>
              <w:widowControl/>
              <w:spacing w:beforeAutospacing="1" w:afterAutospacing="1"/>
              <w:ind w:firstLine="420"/>
              <w:jc w:val="center"/>
              <w:rPr>
                <w:rFonts w:ascii="仿宋_GB2312" w:hAnsi="宋体"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61" w:hRule="atLeast"/>
          <w:jc w:val="center"/>
        </w:trPr>
        <w:tc>
          <w:tcPr>
            <w:tcW w:w="816" w:type="dxa"/>
            <w:tcBorders>
              <w:top w:val="single" w:color="auto" w:sz="2" w:space="0"/>
              <w:left w:val="single" w:color="auto" w:sz="12" w:space="0"/>
              <w:bottom w:val="single" w:color="auto" w:sz="2" w:space="0"/>
              <w:right w:val="single" w:color="auto" w:sz="2" w:space="0"/>
            </w:tcBorders>
            <w:shd w:val="clear" w:color="auto" w:fill="auto"/>
            <w:vAlign w:val="center"/>
          </w:tcPr>
          <w:p>
            <w:pPr>
              <w:widowControl/>
              <w:spacing w:beforeAutospacing="1" w:afterAutospacing="1"/>
              <w:jc w:val="center"/>
              <w:rPr>
                <w:rFonts w:ascii="仿宋_GB2312" w:hAnsi="宋体" w:eastAsia="仿宋_GB2312"/>
                <w:sz w:val="24"/>
              </w:rPr>
            </w:pPr>
            <w:r>
              <w:rPr>
                <w:rFonts w:ascii="仿宋_GB2312" w:hAnsi="宋体" w:eastAsia="仿宋_GB2312"/>
                <w:sz w:val="24"/>
              </w:rPr>
              <w:t>5</w:t>
            </w:r>
          </w:p>
        </w:tc>
        <w:tc>
          <w:tcPr>
            <w:tcW w:w="1608"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10.3.3</w:t>
            </w:r>
          </w:p>
        </w:tc>
        <w:tc>
          <w:tcPr>
            <w:tcW w:w="7409"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修改养菌内容，增加湿度和温度指标。</w:t>
            </w:r>
          </w:p>
        </w:tc>
        <w:tc>
          <w:tcPr>
            <w:tcW w:w="2182"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山西省医药与生命科学研究院</w:t>
            </w:r>
          </w:p>
        </w:tc>
        <w:tc>
          <w:tcPr>
            <w:tcW w:w="1220" w:type="dxa"/>
            <w:tcBorders>
              <w:top w:val="single" w:color="auto" w:sz="2" w:space="0"/>
              <w:left w:val="single" w:color="auto" w:sz="2" w:space="0"/>
              <w:bottom w:val="single" w:color="auto" w:sz="2" w:space="0"/>
              <w:right w:val="single" w:color="auto" w:sz="2" w:space="0"/>
            </w:tcBorders>
            <w:shd w:val="clear" w:color="auto" w:fill="auto"/>
            <w:vAlign w:val="center"/>
          </w:tcPr>
          <w:p>
            <w:pPr>
              <w:snapToGrid w:val="0"/>
              <w:spacing w:line="360" w:lineRule="auto"/>
              <w:jc w:val="center"/>
              <w:rPr>
                <w:rFonts w:ascii="仿宋_GB2312" w:hAnsi="宋体" w:eastAsia="仿宋_GB2312"/>
                <w:sz w:val="24"/>
              </w:rPr>
            </w:pPr>
            <w:r>
              <w:rPr>
                <w:rFonts w:hint="eastAsia" w:ascii="仿宋_GB2312" w:hAnsi="宋体" w:eastAsia="仿宋_GB2312"/>
                <w:sz w:val="24"/>
              </w:rPr>
              <w:t>采纳</w:t>
            </w:r>
          </w:p>
        </w:tc>
        <w:tc>
          <w:tcPr>
            <w:tcW w:w="1080" w:type="dxa"/>
            <w:tcBorders>
              <w:top w:val="single" w:color="auto" w:sz="2" w:space="0"/>
              <w:left w:val="single" w:color="auto" w:sz="2" w:space="0"/>
              <w:bottom w:val="single" w:color="auto" w:sz="2" w:space="0"/>
              <w:right w:val="single" w:color="auto" w:sz="12" w:space="0"/>
            </w:tcBorders>
            <w:shd w:val="clear" w:color="auto" w:fill="auto"/>
            <w:vAlign w:val="center"/>
          </w:tcPr>
          <w:p>
            <w:pPr>
              <w:widowControl/>
              <w:spacing w:beforeAutospacing="1" w:afterAutospacing="1"/>
              <w:ind w:firstLine="420"/>
              <w:jc w:val="center"/>
              <w:rPr>
                <w:rFonts w:ascii="仿宋_GB2312" w:hAnsi="宋体" w:eastAsia="仿宋_GB2312"/>
                <w:sz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89" w:hRule="atLeast"/>
          <w:jc w:val="center"/>
        </w:trPr>
        <w:tc>
          <w:tcPr>
            <w:tcW w:w="14315" w:type="dxa"/>
            <w:gridSpan w:val="6"/>
            <w:tcBorders>
              <w:top w:val="single" w:color="auto" w:sz="2" w:space="0"/>
              <w:left w:val="single" w:color="auto" w:sz="12" w:space="0"/>
              <w:bottom w:val="single" w:color="auto" w:sz="12" w:space="0"/>
              <w:right w:val="single" w:color="auto" w:sz="12" w:space="0"/>
            </w:tcBorders>
            <w:shd w:val="clear" w:color="auto" w:fill="auto"/>
            <w:vAlign w:val="center"/>
          </w:tcPr>
          <w:p>
            <w:pPr>
              <w:rPr>
                <w:rFonts w:ascii="仿宋_GB2312" w:hAnsi="宋体" w:eastAsia="仿宋_GB2312"/>
                <w:sz w:val="24"/>
              </w:rPr>
            </w:pPr>
            <w:r>
              <w:rPr>
                <w:rFonts w:hint="eastAsia" w:ascii="仿宋_GB2312" w:hAnsi="宋体" w:eastAsia="仿宋_GB2312"/>
                <w:sz w:val="24"/>
              </w:rPr>
              <w:t>说明：</w:t>
            </w:r>
            <w:r>
              <w:rPr>
                <w:rFonts w:ascii="仿宋_GB2312" w:hAnsi="宋体" w:eastAsia="仿宋_GB2312"/>
                <w:sz w:val="24"/>
              </w:rPr>
              <w:t>1.</w:t>
            </w:r>
            <w:r>
              <w:rPr>
                <w:rFonts w:hint="eastAsia" w:ascii="仿宋_GB2312" w:hAnsi="宋体" w:eastAsia="仿宋_GB2312"/>
                <w:sz w:val="24"/>
              </w:rPr>
              <w:t>针对明确回复无意见的单位，请在“意见内容”中注明无意见，在“提出单位”中列出无意见单位的名称。</w:t>
            </w:r>
          </w:p>
          <w:p>
            <w:pPr>
              <w:ind w:firstLine="720" w:firstLineChars="300"/>
              <w:rPr>
                <w:rFonts w:ascii="仿宋_GB2312" w:hAnsi="宋体" w:eastAsia="仿宋_GB2312"/>
                <w:sz w:val="24"/>
              </w:rPr>
            </w:pPr>
            <w:r>
              <w:rPr>
                <w:rFonts w:ascii="仿宋_GB2312" w:hAnsi="宋体" w:eastAsia="仿宋_GB2312"/>
                <w:sz w:val="24"/>
              </w:rPr>
              <w:t>2.</w:t>
            </w:r>
            <w:r>
              <w:rPr>
                <w:rFonts w:hint="eastAsia" w:ascii="仿宋_GB2312" w:hAnsi="宋体" w:eastAsia="仿宋_GB2312"/>
                <w:sz w:val="24"/>
              </w:rPr>
              <w:t>发送征求意见稿单位数</w:t>
            </w:r>
            <w:r>
              <w:rPr>
                <w:rFonts w:ascii="仿宋_GB2312" w:hAnsi="宋体" w:eastAsia="仿宋_GB2312"/>
                <w:sz w:val="24"/>
              </w:rPr>
              <w:t>5</w:t>
            </w:r>
            <w:r>
              <w:rPr>
                <w:rFonts w:hint="eastAsia" w:ascii="仿宋_GB2312" w:hAnsi="宋体" w:eastAsia="仿宋_GB2312"/>
                <w:sz w:val="24"/>
              </w:rPr>
              <w:t>个；回到征求意见稿回函的单位</w:t>
            </w:r>
            <w:r>
              <w:rPr>
                <w:rFonts w:ascii="仿宋_GB2312" w:hAnsi="宋体" w:eastAsia="仿宋_GB2312"/>
                <w:sz w:val="24"/>
              </w:rPr>
              <w:t>5</w:t>
            </w:r>
            <w:r>
              <w:rPr>
                <w:rFonts w:hint="eastAsia" w:ascii="仿宋_GB2312" w:hAnsi="宋体" w:eastAsia="仿宋_GB2312"/>
                <w:sz w:val="24"/>
              </w:rPr>
              <w:t>个，收到征求意见稿并提出意见的单位数</w:t>
            </w:r>
            <w:r>
              <w:rPr>
                <w:rFonts w:ascii="仿宋_GB2312" w:hAnsi="宋体" w:eastAsia="仿宋_GB2312"/>
                <w:sz w:val="24"/>
              </w:rPr>
              <w:t>5</w:t>
            </w:r>
            <w:r>
              <w:rPr>
                <w:rFonts w:hint="eastAsia" w:ascii="仿宋_GB2312" w:hAnsi="宋体" w:eastAsia="仿宋_GB2312"/>
                <w:sz w:val="24"/>
              </w:rPr>
              <w:t>个；没有回函的单位数</w:t>
            </w:r>
            <w:r>
              <w:rPr>
                <w:rFonts w:ascii="仿宋_GB2312" w:hAnsi="宋体" w:eastAsia="仿宋_GB2312"/>
                <w:sz w:val="24"/>
              </w:rPr>
              <w:t>0</w:t>
            </w:r>
            <w:r>
              <w:rPr>
                <w:rFonts w:hint="eastAsia" w:ascii="仿宋_GB2312" w:hAnsi="宋体" w:eastAsia="仿宋_GB2312"/>
                <w:sz w:val="24"/>
              </w:rPr>
              <w:t>个；共收到</w:t>
            </w:r>
            <w:r>
              <w:rPr>
                <w:rFonts w:ascii="仿宋_GB2312" w:hAnsi="宋体" w:eastAsia="仿宋_GB2312"/>
                <w:sz w:val="24"/>
              </w:rPr>
              <w:t>5</w:t>
            </w:r>
            <w:r>
              <w:rPr>
                <w:rFonts w:hint="eastAsia" w:ascii="仿宋_GB2312" w:hAnsi="宋体" w:eastAsia="仿宋_GB2312"/>
                <w:sz w:val="24"/>
              </w:rPr>
              <w:t>条意见，采纳</w:t>
            </w:r>
            <w:r>
              <w:rPr>
                <w:rFonts w:ascii="仿宋_GB2312" w:hAnsi="宋体" w:eastAsia="仿宋_GB2312"/>
                <w:sz w:val="24"/>
              </w:rPr>
              <w:t>5</w:t>
            </w:r>
            <w:r>
              <w:rPr>
                <w:rFonts w:hint="eastAsia" w:ascii="仿宋_GB2312" w:hAnsi="宋体" w:eastAsia="仿宋_GB2312"/>
                <w:sz w:val="24"/>
              </w:rPr>
              <w:t>条意见，部分采纳</w:t>
            </w:r>
            <w:r>
              <w:rPr>
                <w:rFonts w:ascii="仿宋_GB2312" w:hAnsi="宋体" w:eastAsia="仿宋_GB2312"/>
                <w:sz w:val="24"/>
              </w:rPr>
              <w:t>0</w:t>
            </w:r>
            <w:r>
              <w:rPr>
                <w:rFonts w:hint="eastAsia" w:ascii="仿宋_GB2312" w:hAnsi="宋体" w:eastAsia="仿宋_GB2312"/>
                <w:sz w:val="24"/>
              </w:rPr>
              <w:t>条意见，未采纳</w:t>
            </w:r>
            <w:r>
              <w:rPr>
                <w:rFonts w:ascii="仿宋_GB2312" w:hAnsi="宋体" w:eastAsia="仿宋_GB2312"/>
                <w:sz w:val="24"/>
              </w:rPr>
              <w:t>0</w:t>
            </w:r>
            <w:r>
              <w:rPr>
                <w:rFonts w:hint="eastAsia" w:ascii="仿宋_GB2312" w:hAnsi="宋体" w:eastAsia="仿宋_GB2312"/>
                <w:sz w:val="24"/>
              </w:rPr>
              <w:t>条意见。</w:t>
            </w:r>
          </w:p>
        </w:tc>
      </w:tr>
    </w:tbl>
    <w:p>
      <w:pPr>
        <w:jc w:val="center"/>
        <w:rPr>
          <w:rFonts w:ascii="仿宋_GB2312" w:hAnsi="宋体" w:eastAsia="仿宋_GB2312"/>
          <w:color w:val="0000FF"/>
          <w:sz w:val="24"/>
        </w:rPr>
      </w:pPr>
    </w:p>
    <w:sectPr>
      <w:pgSz w:w="16838" w:h="11906" w:orient="landscape"/>
      <w:pgMar w:top="1803" w:right="1440" w:bottom="1803" w:left="1440" w:header="851" w:footer="992" w:gutter="0"/>
      <w:pgNumType w:start="1"/>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Noto Sans Syriac Eastern"/>
    <w:panose1 w:val="02040503050203030202"/>
    <w:charset w:val="00"/>
    <w:family w:val="roma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TrackMoves/>
  <w:documentProtection w:enforcement="0"/>
  <w:defaultTabStop w:val="420"/>
  <w:drawingGridHorizontalSpacing w:val="105"/>
  <w:drawingGridVerticalSpacing w:val="159"/>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0NTNhZTg1OTg2ZTMwYWY2MDNmNjJiYjUzM2I1MDEifQ=="/>
  </w:docVars>
  <w:rsids>
    <w:rsidRoot w:val="00172A27"/>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72A27"/>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A0B"/>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0E0B"/>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25B0"/>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C6D84"/>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A221A"/>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62225C3"/>
    <w:rsid w:val="23262BFF"/>
    <w:rsid w:val="26C93CF4"/>
    <w:rsid w:val="31FC52B5"/>
    <w:rsid w:val="355108B3"/>
    <w:rsid w:val="3D25D500"/>
    <w:rsid w:val="3EEF98DD"/>
    <w:rsid w:val="3F9FD22F"/>
    <w:rsid w:val="470749E1"/>
    <w:rsid w:val="4EB85A48"/>
    <w:rsid w:val="4F7B247E"/>
    <w:rsid w:val="57D94567"/>
    <w:rsid w:val="5CFF1606"/>
    <w:rsid w:val="5DFFCE9C"/>
    <w:rsid w:val="5FB81DCD"/>
    <w:rsid w:val="60B371C8"/>
    <w:rsid w:val="612B0486"/>
    <w:rsid w:val="61D237B9"/>
    <w:rsid w:val="63BD8BA4"/>
    <w:rsid w:val="6BFEE3C0"/>
    <w:rsid w:val="6BFF0146"/>
    <w:rsid w:val="6CAFEB26"/>
    <w:rsid w:val="6EFD90F7"/>
    <w:rsid w:val="711772FF"/>
    <w:rsid w:val="72022537"/>
    <w:rsid w:val="72DE18B7"/>
    <w:rsid w:val="7329008F"/>
    <w:rsid w:val="73761D39"/>
    <w:rsid w:val="755446F3"/>
    <w:rsid w:val="7637303E"/>
    <w:rsid w:val="77C6AB6B"/>
    <w:rsid w:val="77FF4F98"/>
    <w:rsid w:val="79FF0142"/>
    <w:rsid w:val="7BFB120F"/>
    <w:rsid w:val="7F7F1836"/>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7"/>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99"/>
    <w:pPr>
      <w:suppressLineNumbers/>
      <w:suppressAutoHyphens/>
      <w:spacing w:before="120" w:after="120"/>
    </w:pPr>
    <w:rPr>
      <w:rFonts w:cs="Mangal"/>
      <w:i/>
      <w:iCs/>
      <w:kern w:val="21"/>
      <w:sz w:val="24"/>
      <w:lang w:eastAsia="ar-SA"/>
    </w:rPr>
  </w:style>
  <w:style w:type="paragraph" w:styleId="5">
    <w:name w:val="Body Text"/>
    <w:basedOn w:val="1"/>
    <w:link w:val="27"/>
    <w:qFormat/>
    <w:uiPriority w:val="0"/>
    <w:pPr>
      <w:spacing w:after="120"/>
    </w:pPr>
  </w:style>
  <w:style w:type="paragraph" w:styleId="6">
    <w:name w:val="Date"/>
    <w:basedOn w:val="1"/>
    <w:next w:val="1"/>
    <w:link w:val="26"/>
    <w:semiHidden/>
    <w:unhideWhenUsed/>
    <w:qFormat/>
    <w:uiPriority w:val="99"/>
    <w:pPr>
      <w:ind w:left="100" w:leftChars="2500"/>
    </w:pPr>
  </w:style>
  <w:style w:type="paragraph" w:styleId="7">
    <w:name w:val="Balloon Text"/>
    <w:basedOn w:val="1"/>
    <w:link w:val="23"/>
    <w:semiHidden/>
    <w:unhideWhenUsed/>
    <w:qFormat/>
    <w:uiPriority w:val="99"/>
    <w:rPr>
      <w:sz w:val="18"/>
      <w:szCs w:val="18"/>
    </w:rPr>
  </w:style>
  <w:style w:type="paragraph" w:styleId="8">
    <w:name w:val="footer"/>
    <w:basedOn w:val="1"/>
    <w:link w:val="22"/>
    <w:unhideWhenUsed/>
    <w:qFormat/>
    <w:uiPriority w:val="99"/>
    <w:pPr>
      <w:tabs>
        <w:tab w:val="center" w:pos="4153"/>
        <w:tab w:val="right" w:pos="8306"/>
      </w:tabs>
      <w:snapToGrid w:val="0"/>
      <w:jc w:val="left"/>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1">
    <w:name w:val="Normal (Web)"/>
    <w:basedOn w:val="1"/>
    <w:unhideWhenUsed/>
    <w:qFormat/>
    <w:uiPriority w:val="99"/>
    <w:pPr>
      <w:widowControl/>
      <w:spacing w:before="100" w:beforeAutospacing="1" w:after="100" w:afterAutospacing="1"/>
      <w:jc w:val="left"/>
    </w:pPr>
    <w:rPr>
      <w:rFonts w:hint="eastAsia" w:ascii="宋体" w:hAnsi="宋体"/>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99"/>
    <w:rPr>
      <w:rFonts w:cs="Times New Roman"/>
      <w:b/>
    </w:rPr>
  </w:style>
  <w:style w:type="character" w:customStyle="1" w:styleId="16">
    <w:name w:val="标题 1 Char"/>
    <w:link w:val="2"/>
    <w:qFormat/>
    <w:locked/>
    <w:uiPriority w:val="99"/>
    <w:rPr>
      <w:rFonts w:cs="Times New Roman"/>
      <w:b/>
      <w:kern w:val="1"/>
      <w:sz w:val="44"/>
      <w:lang w:eastAsia="ar-SA" w:bidi="ar-SA"/>
    </w:rPr>
  </w:style>
  <w:style w:type="character" w:customStyle="1" w:styleId="17">
    <w:name w:val="标题 3 Char"/>
    <w:link w:val="3"/>
    <w:qFormat/>
    <w:locked/>
    <w:uiPriority w:val="99"/>
    <w:rPr>
      <w:rFonts w:cs="Times New Roman"/>
      <w:b/>
      <w:kern w:val="21"/>
      <w:sz w:val="32"/>
      <w:lang w:eastAsia="ar-SA" w:bidi="ar-SA"/>
    </w:rPr>
  </w:style>
  <w:style w:type="paragraph" w:styleId="18">
    <w:name w:val="List Paragraph"/>
    <w:basedOn w:val="1"/>
    <w:qFormat/>
    <w:uiPriority w:val="99"/>
    <w:pPr>
      <w:suppressAutoHyphens/>
      <w:ind w:firstLine="420" w:firstLineChars="200"/>
    </w:pPr>
    <w:rPr>
      <w:kern w:val="21"/>
      <w:lang w:eastAsia="ar-SA"/>
    </w:rPr>
  </w:style>
  <w:style w:type="paragraph" w:customStyle="1" w:styleId="19">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0">
    <w:name w:val="段 Char"/>
    <w:link w:val="19"/>
    <w:qFormat/>
    <w:locked/>
    <w:uiPriority w:val="0"/>
    <w:rPr>
      <w:rFonts w:ascii="宋体" w:cs="Times New Roman"/>
      <w:sz w:val="21"/>
      <w:lang w:val="en-US" w:eastAsia="zh-CN" w:bidi="ar-SA"/>
    </w:rPr>
  </w:style>
  <w:style w:type="character" w:customStyle="1" w:styleId="21">
    <w:name w:val="页眉 Char"/>
    <w:link w:val="9"/>
    <w:qFormat/>
    <w:uiPriority w:val="99"/>
    <w:rPr>
      <w:sz w:val="18"/>
      <w:szCs w:val="18"/>
    </w:rPr>
  </w:style>
  <w:style w:type="character" w:customStyle="1" w:styleId="22">
    <w:name w:val="页脚 Char"/>
    <w:link w:val="8"/>
    <w:qFormat/>
    <w:uiPriority w:val="99"/>
    <w:rPr>
      <w:sz w:val="18"/>
      <w:szCs w:val="18"/>
    </w:rPr>
  </w:style>
  <w:style w:type="character" w:customStyle="1" w:styleId="23">
    <w:name w:val="批注框文本 Char"/>
    <w:link w:val="7"/>
    <w:semiHidden/>
    <w:qFormat/>
    <w:uiPriority w:val="99"/>
    <w:rPr>
      <w:kern w:val="2"/>
      <w:sz w:val="18"/>
      <w:szCs w:val="18"/>
    </w:rPr>
  </w:style>
  <w:style w:type="table" w:customStyle="1" w:styleId="24">
    <w:name w:val="浅色底纹1"/>
    <w:basedOn w:val="12"/>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5">
    <w:name w:val="浅色底纹2"/>
    <w:basedOn w:val="12"/>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6">
    <w:name w:val="日期 Char"/>
    <w:basedOn w:val="14"/>
    <w:link w:val="6"/>
    <w:semiHidden/>
    <w:qFormat/>
    <w:uiPriority w:val="99"/>
    <w:rPr>
      <w:kern w:val="2"/>
      <w:sz w:val="21"/>
      <w:szCs w:val="24"/>
    </w:rPr>
  </w:style>
  <w:style w:type="character" w:customStyle="1" w:styleId="27">
    <w:name w:val="正文文本 Char"/>
    <w:basedOn w:val="14"/>
    <w:link w:val="5"/>
    <w:qFormat/>
    <w:uiPriority w:val="0"/>
    <w:rPr>
      <w:kern w:val="2"/>
      <w:sz w:val="21"/>
      <w:szCs w:val="24"/>
    </w:rPr>
  </w:style>
  <w:style w:type="paragraph" w:customStyle="1" w:styleId="28">
    <w:name w:val="标准文件_段"/>
    <w:link w:val="2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标准文件_段 Char"/>
    <w:link w:val="28"/>
    <w:qFormat/>
    <w:uiPriority w:val="0"/>
    <w:rPr>
      <w:rFonts w:ascii="宋体"/>
      <w:sz w:val="21"/>
    </w:rPr>
  </w:style>
  <w:style w:type="paragraph" w:customStyle="1" w:styleId="30">
    <w:name w:val="一级条标题"/>
    <w:next w:val="19"/>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1">
    <w:name w:val="二级条标题"/>
    <w:basedOn w:val="30"/>
    <w:next w:val="19"/>
    <w:qFormat/>
    <w:uiPriority w:val="0"/>
    <w:pPr>
      <w:numPr>
        <w:ilvl w:val="2"/>
      </w:numPr>
      <w:spacing w:before="50" w:after="50"/>
      <w:outlineLvl w:val="3"/>
    </w:pPr>
  </w:style>
  <w:style w:type="paragraph" w:customStyle="1" w:styleId="32">
    <w:name w:val="附录表标题"/>
    <w:basedOn w:val="1"/>
    <w:next w:val="19"/>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9</Pages>
  <Words>4650</Words>
  <Characters>651</Characters>
  <Lines>5</Lines>
  <Paragraphs>10</Paragraphs>
  <TotalTime>50</TotalTime>
  <ScaleCrop>false</ScaleCrop>
  <LinksUpToDate>false</LinksUpToDate>
  <CharactersWithSpaces>5291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2024-03-31T14:18:00Z</cp:lastPrinted>
  <dcterms:modified xsi:type="dcterms:W3CDTF">2024-07-09T17:16:07Z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