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p>
    <w:p>
      <w:pPr>
        <w:jc w:val="center"/>
        <w:rPr>
          <w:b/>
          <w:sz w:val="32"/>
          <w:szCs w:val="32"/>
        </w:rPr>
      </w:pPr>
    </w:p>
    <w:p>
      <w:pPr>
        <w:jc w:val="center"/>
        <w:rPr>
          <w:b/>
          <w:sz w:val="32"/>
          <w:szCs w:val="32"/>
        </w:rPr>
      </w:pPr>
    </w:p>
    <w:p>
      <w:pPr>
        <w:spacing w:line="360" w:lineRule="auto"/>
        <w:jc w:val="center"/>
        <w:rPr>
          <w:rFonts w:eastAsia="黑体"/>
          <w:b/>
          <w:kern w:val="22"/>
          <w:sz w:val="44"/>
          <w:szCs w:val="44"/>
        </w:rPr>
      </w:pPr>
      <w:r>
        <w:rPr>
          <w:rFonts w:eastAsia="黑体"/>
          <w:b/>
          <w:kern w:val="22"/>
          <w:sz w:val="44"/>
          <w:szCs w:val="44"/>
        </w:rPr>
        <w:t>山西省地方标准</w:t>
      </w:r>
    </w:p>
    <w:p>
      <w:pPr>
        <w:spacing w:line="360" w:lineRule="auto"/>
        <w:jc w:val="center"/>
        <w:rPr>
          <w:rFonts w:eastAsia="黑体"/>
          <w:b/>
          <w:kern w:val="22"/>
          <w:sz w:val="44"/>
          <w:szCs w:val="44"/>
        </w:rPr>
      </w:pPr>
      <w:r>
        <w:rPr>
          <w:rFonts w:eastAsia="黑体"/>
          <w:b/>
          <w:kern w:val="22"/>
          <w:sz w:val="44"/>
          <w:szCs w:val="44"/>
        </w:rPr>
        <w:t>《辣椒抗疫病田间鉴定技术规程》</w:t>
      </w:r>
    </w:p>
    <w:p>
      <w:pPr>
        <w:spacing w:line="360" w:lineRule="auto"/>
        <w:jc w:val="center"/>
        <w:rPr>
          <w:rFonts w:eastAsia="黑体"/>
          <w:b/>
          <w:kern w:val="22"/>
          <w:sz w:val="44"/>
          <w:szCs w:val="44"/>
        </w:rPr>
      </w:pPr>
      <w:r>
        <w:rPr>
          <w:rFonts w:eastAsia="黑体"/>
          <w:b/>
          <w:kern w:val="22"/>
          <w:sz w:val="44"/>
          <w:szCs w:val="44"/>
        </w:rPr>
        <w:t>编制说明</w:t>
      </w:r>
    </w:p>
    <w:p>
      <w:pPr>
        <w:ind w:firstLine="642" w:firstLineChars="200"/>
        <w:rPr>
          <w:rFonts w:eastAsia="仿宋"/>
          <w:b/>
          <w:sz w:val="32"/>
          <w:szCs w:val="32"/>
        </w:rPr>
      </w:pPr>
    </w:p>
    <w:p>
      <w:pPr>
        <w:ind w:firstLine="642" w:firstLineChars="200"/>
        <w:rPr>
          <w:rFonts w:eastAsia="仿宋"/>
          <w:b/>
          <w:sz w:val="32"/>
          <w:szCs w:val="32"/>
        </w:rPr>
      </w:pPr>
    </w:p>
    <w:p>
      <w:pPr>
        <w:ind w:firstLine="642" w:firstLineChars="200"/>
        <w:rPr>
          <w:rFonts w:eastAsia="仿宋"/>
          <w:b/>
          <w:sz w:val="32"/>
          <w:szCs w:val="32"/>
        </w:rPr>
      </w:pPr>
    </w:p>
    <w:p>
      <w:pPr>
        <w:ind w:firstLine="642" w:firstLineChars="200"/>
        <w:rPr>
          <w:rFonts w:eastAsia="仿宋"/>
          <w:b/>
          <w:sz w:val="32"/>
          <w:szCs w:val="32"/>
        </w:rPr>
      </w:pPr>
    </w:p>
    <w:p>
      <w:pPr>
        <w:ind w:firstLine="642" w:firstLineChars="200"/>
        <w:rPr>
          <w:rFonts w:eastAsia="仿宋"/>
          <w:b/>
          <w:sz w:val="32"/>
          <w:szCs w:val="32"/>
        </w:rPr>
      </w:pPr>
    </w:p>
    <w:p>
      <w:pPr>
        <w:ind w:firstLine="642" w:firstLineChars="200"/>
        <w:rPr>
          <w:rFonts w:eastAsia="仿宋"/>
          <w:b/>
          <w:sz w:val="32"/>
          <w:szCs w:val="32"/>
        </w:rPr>
      </w:pPr>
    </w:p>
    <w:p>
      <w:pPr>
        <w:ind w:firstLine="642" w:firstLineChars="200"/>
        <w:rPr>
          <w:rFonts w:eastAsia="仿宋"/>
          <w:b/>
          <w:sz w:val="32"/>
          <w:szCs w:val="32"/>
        </w:rPr>
      </w:pPr>
    </w:p>
    <w:p>
      <w:pPr>
        <w:ind w:firstLine="642" w:firstLineChars="200"/>
        <w:jc w:val="center"/>
        <w:rPr>
          <w:rFonts w:eastAsia="仿宋"/>
          <w:b/>
          <w:sz w:val="32"/>
          <w:szCs w:val="32"/>
        </w:rPr>
      </w:pPr>
    </w:p>
    <w:p>
      <w:pPr>
        <w:ind w:firstLine="642" w:firstLineChars="200"/>
        <w:jc w:val="center"/>
        <w:rPr>
          <w:b/>
          <w:sz w:val="32"/>
          <w:szCs w:val="32"/>
        </w:rPr>
      </w:pPr>
    </w:p>
    <w:p>
      <w:pPr>
        <w:ind w:firstLine="642" w:firstLineChars="200"/>
        <w:jc w:val="center"/>
        <w:rPr>
          <w:b/>
          <w:sz w:val="32"/>
          <w:szCs w:val="32"/>
        </w:rPr>
      </w:pPr>
    </w:p>
    <w:p>
      <w:pPr>
        <w:ind w:firstLine="642" w:firstLineChars="200"/>
        <w:jc w:val="center"/>
        <w:rPr>
          <w:b/>
          <w:sz w:val="32"/>
          <w:szCs w:val="32"/>
        </w:rPr>
      </w:pPr>
    </w:p>
    <w:p>
      <w:pPr>
        <w:spacing w:line="360" w:lineRule="auto"/>
        <w:jc w:val="center"/>
        <w:rPr>
          <w:b/>
          <w:kern w:val="22"/>
          <w:sz w:val="10"/>
          <w:szCs w:val="10"/>
        </w:rPr>
      </w:pPr>
      <w:r>
        <w:rPr>
          <w:b/>
          <w:kern w:val="22"/>
          <w:sz w:val="32"/>
          <w:szCs w:val="32"/>
        </w:rPr>
        <w:t>编制单位：山西农业大学</w:t>
      </w:r>
    </w:p>
    <w:p>
      <w:pPr>
        <w:jc w:val="center"/>
        <w:rPr>
          <w:b/>
          <w:sz w:val="32"/>
          <w:szCs w:val="32"/>
        </w:rPr>
      </w:pPr>
      <w:r>
        <w:rPr>
          <w:b/>
          <w:sz w:val="32"/>
          <w:szCs w:val="32"/>
        </w:rPr>
        <w:t xml:space="preserve"> 二〇二四年</w:t>
      </w:r>
      <w:r>
        <w:rPr>
          <w:rFonts w:hint="eastAsia"/>
          <w:b/>
          <w:sz w:val="32"/>
          <w:szCs w:val="32"/>
          <w:lang w:eastAsia="zh-CN"/>
        </w:rPr>
        <w:t>三</w:t>
      </w:r>
      <w:r>
        <w:rPr>
          <w:b/>
          <w:sz w:val="32"/>
          <w:szCs w:val="32"/>
        </w:rPr>
        <w:t>月</w:t>
      </w:r>
    </w:p>
    <w:p>
      <w:pPr>
        <w:jc w:val="center"/>
        <w:rPr>
          <w:b/>
          <w:sz w:val="32"/>
          <w:szCs w:val="32"/>
        </w:rPr>
      </w:pPr>
    </w:p>
    <w:p>
      <w:pPr>
        <w:jc w:val="center"/>
        <w:rPr>
          <w:b/>
          <w:sz w:val="32"/>
          <w:szCs w:val="32"/>
        </w:rPr>
      </w:pPr>
    </w:p>
    <w:p>
      <w:pPr>
        <w:jc w:val="center"/>
        <w:rPr>
          <w:b/>
          <w:sz w:val="32"/>
          <w:szCs w:val="32"/>
        </w:rPr>
      </w:pPr>
    </w:p>
    <w:p>
      <w:pPr>
        <w:spacing w:line="520" w:lineRule="exact"/>
        <w:jc w:val="center"/>
        <w:rPr>
          <w:b/>
          <w:sz w:val="30"/>
          <w:szCs w:val="30"/>
        </w:rPr>
      </w:pPr>
      <w:r>
        <w:rPr>
          <w:b/>
          <w:sz w:val="30"/>
          <w:szCs w:val="30"/>
        </w:rPr>
        <w:t>山西省地方标准</w:t>
      </w:r>
    </w:p>
    <w:p>
      <w:pPr>
        <w:spacing w:line="520" w:lineRule="exact"/>
        <w:jc w:val="center"/>
        <w:rPr>
          <w:b/>
          <w:sz w:val="30"/>
          <w:szCs w:val="30"/>
        </w:rPr>
      </w:pPr>
      <w:r>
        <w:rPr>
          <w:b/>
          <w:sz w:val="30"/>
          <w:szCs w:val="30"/>
        </w:rPr>
        <w:t>《</w:t>
      </w:r>
      <w:r>
        <w:rPr>
          <w:rFonts w:hint="eastAsia"/>
          <w:b/>
          <w:sz w:val="30"/>
          <w:szCs w:val="30"/>
        </w:rPr>
        <w:t>辣椒抗疫病田间鉴定技术规程</w:t>
      </w:r>
      <w:r>
        <w:rPr>
          <w:b/>
          <w:sz w:val="30"/>
          <w:szCs w:val="30"/>
        </w:rPr>
        <w:t>》</w:t>
      </w:r>
    </w:p>
    <w:p>
      <w:pPr>
        <w:spacing w:line="520" w:lineRule="exact"/>
        <w:jc w:val="center"/>
        <w:rPr>
          <w:b/>
          <w:sz w:val="30"/>
          <w:szCs w:val="30"/>
        </w:rPr>
      </w:pPr>
      <w:r>
        <w:rPr>
          <w:b/>
          <w:sz w:val="30"/>
          <w:szCs w:val="30"/>
        </w:rPr>
        <w:t>编制说明</w:t>
      </w:r>
    </w:p>
    <w:p>
      <w:pPr>
        <w:spacing w:line="520" w:lineRule="exact"/>
        <w:jc w:val="center"/>
        <w:rPr>
          <w:b/>
          <w:sz w:val="30"/>
          <w:szCs w:val="30"/>
        </w:rPr>
      </w:pPr>
    </w:p>
    <w:p>
      <w:pPr>
        <w:spacing w:line="360" w:lineRule="auto"/>
        <w:ind w:firstLine="480" w:firstLineChars="200"/>
        <w:outlineLvl w:val="0"/>
        <w:rPr>
          <w:rFonts w:eastAsia="黑体"/>
          <w:sz w:val="24"/>
        </w:rPr>
      </w:pPr>
      <w:r>
        <w:rPr>
          <w:rFonts w:eastAsia="黑体"/>
          <w:sz w:val="24"/>
        </w:rPr>
        <w:t>一、工作简况</w:t>
      </w:r>
    </w:p>
    <w:p>
      <w:pPr>
        <w:spacing w:line="360" w:lineRule="auto"/>
        <w:ind w:left="465"/>
        <w:outlineLvl w:val="1"/>
        <w:rPr>
          <w:rFonts w:eastAsia="楷体_GB2312"/>
          <w:sz w:val="24"/>
        </w:rPr>
      </w:pPr>
      <w:r>
        <w:rPr>
          <w:rFonts w:eastAsia="楷体_GB2312"/>
          <w:sz w:val="24"/>
        </w:rPr>
        <w:t>1任务来源</w:t>
      </w:r>
    </w:p>
    <w:p>
      <w:pPr>
        <w:spacing w:line="360" w:lineRule="auto"/>
        <w:ind w:firstLine="480" w:firstLineChars="200"/>
        <w:jc w:val="left"/>
        <w:outlineLvl w:val="1"/>
        <w:rPr>
          <w:rFonts w:eastAsia="仿宋_GB2312"/>
          <w:sz w:val="24"/>
        </w:rPr>
      </w:pPr>
      <w:r>
        <w:rPr>
          <w:rFonts w:eastAsia="仿宋_GB2312"/>
          <w:sz w:val="24"/>
        </w:rPr>
        <w:t>按照山西省市场监督管理局关于2022年度省级地方标准复审结论公告（山西省地方标准公告2022年</w:t>
      </w:r>
      <w:bookmarkStart w:id="0" w:name="_GoBack"/>
      <w:bookmarkEnd w:id="0"/>
      <w:r>
        <w:rPr>
          <w:rFonts w:eastAsia="仿宋_GB2312"/>
          <w:sz w:val="24"/>
        </w:rPr>
        <w:t>第20号），《辣椒抗疫病田间鉴定技术规程》DB14/T 1353—2017被列入山西省地方标准修订计划，本标准由山西省农业标准化技术委员会（SXS/TC19）归口。</w:t>
      </w:r>
    </w:p>
    <w:p>
      <w:pPr>
        <w:spacing w:line="360" w:lineRule="auto"/>
        <w:ind w:left="465"/>
        <w:outlineLvl w:val="1"/>
        <w:rPr>
          <w:rFonts w:eastAsia="楷体_GB2312"/>
          <w:sz w:val="24"/>
        </w:rPr>
      </w:pPr>
      <w:r>
        <w:rPr>
          <w:rFonts w:eastAsia="楷体_GB2312"/>
          <w:sz w:val="24"/>
        </w:rPr>
        <w:t>2 起草单位和主要起草人</w:t>
      </w:r>
    </w:p>
    <w:p>
      <w:pPr>
        <w:spacing w:line="360" w:lineRule="auto"/>
        <w:ind w:firstLine="480" w:firstLineChars="200"/>
        <w:jc w:val="left"/>
        <w:outlineLvl w:val="1"/>
        <w:rPr>
          <w:rFonts w:eastAsia="仿宋_GB2312"/>
          <w:sz w:val="24"/>
        </w:rPr>
      </w:pPr>
      <w:r>
        <w:rPr>
          <w:rFonts w:eastAsia="仿宋_GB2312"/>
          <w:sz w:val="24"/>
        </w:rPr>
        <w:t>起草任务由山西农业大学承担。</w:t>
      </w:r>
    </w:p>
    <w:p>
      <w:pPr>
        <w:spacing w:line="360" w:lineRule="auto"/>
        <w:ind w:firstLine="480" w:firstLineChars="200"/>
        <w:jc w:val="center"/>
        <w:outlineLvl w:val="1"/>
        <w:rPr>
          <w:rFonts w:eastAsia="仿宋_GB2312"/>
          <w:sz w:val="24"/>
        </w:rPr>
      </w:pPr>
      <w:r>
        <w:rPr>
          <w:rFonts w:eastAsia="仿宋_GB2312"/>
          <w:sz w:val="24"/>
        </w:rPr>
        <w:t>主要起草人信息</w:t>
      </w:r>
    </w:p>
    <w:tbl>
      <w:tblPr>
        <w:tblStyle w:val="12"/>
        <w:tblW w:w="8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4"/>
        <w:gridCol w:w="812"/>
        <w:gridCol w:w="1438"/>
        <w:gridCol w:w="3388"/>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tcPr>
          <w:p>
            <w:pPr>
              <w:spacing w:line="400" w:lineRule="exact"/>
              <w:jc w:val="center"/>
              <w:rPr>
                <w:rFonts w:eastAsia="仿宋"/>
                <w:sz w:val="24"/>
              </w:rPr>
            </w:pPr>
            <w:r>
              <w:rPr>
                <w:rFonts w:eastAsia="仿宋"/>
                <w:sz w:val="24"/>
              </w:rPr>
              <w:t>姓名</w:t>
            </w:r>
          </w:p>
        </w:tc>
        <w:tc>
          <w:tcPr>
            <w:tcW w:w="812" w:type="dxa"/>
          </w:tcPr>
          <w:p>
            <w:pPr>
              <w:spacing w:line="400" w:lineRule="exact"/>
              <w:jc w:val="center"/>
              <w:rPr>
                <w:rFonts w:eastAsia="仿宋"/>
                <w:sz w:val="24"/>
              </w:rPr>
            </w:pPr>
            <w:r>
              <w:rPr>
                <w:rFonts w:eastAsia="仿宋"/>
                <w:sz w:val="24"/>
              </w:rPr>
              <w:t>性别</w:t>
            </w:r>
          </w:p>
        </w:tc>
        <w:tc>
          <w:tcPr>
            <w:tcW w:w="1438" w:type="dxa"/>
          </w:tcPr>
          <w:p>
            <w:pPr>
              <w:spacing w:line="400" w:lineRule="exact"/>
              <w:jc w:val="center"/>
              <w:rPr>
                <w:rFonts w:eastAsia="仿宋"/>
                <w:sz w:val="24"/>
              </w:rPr>
            </w:pPr>
            <w:r>
              <w:rPr>
                <w:rFonts w:eastAsia="仿宋"/>
                <w:sz w:val="24"/>
              </w:rPr>
              <w:t>职务/职称</w:t>
            </w:r>
          </w:p>
        </w:tc>
        <w:tc>
          <w:tcPr>
            <w:tcW w:w="3388" w:type="dxa"/>
          </w:tcPr>
          <w:p>
            <w:pPr>
              <w:spacing w:line="400" w:lineRule="exact"/>
              <w:jc w:val="center"/>
              <w:rPr>
                <w:rFonts w:eastAsia="仿宋"/>
                <w:sz w:val="24"/>
              </w:rPr>
            </w:pPr>
            <w:r>
              <w:rPr>
                <w:rFonts w:eastAsia="仿宋"/>
                <w:sz w:val="24"/>
              </w:rPr>
              <w:t>工作单位</w:t>
            </w:r>
          </w:p>
        </w:tc>
        <w:tc>
          <w:tcPr>
            <w:tcW w:w="1332" w:type="dxa"/>
          </w:tcPr>
          <w:p>
            <w:pPr>
              <w:spacing w:line="400" w:lineRule="exact"/>
              <w:jc w:val="center"/>
              <w:rPr>
                <w:rFonts w:eastAsia="仿宋"/>
                <w:sz w:val="24"/>
              </w:rPr>
            </w:pPr>
            <w:r>
              <w:rPr>
                <w:rFonts w:eastAsia="仿宋"/>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tcPr>
          <w:p>
            <w:pPr>
              <w:spacing w:line="400" w:lineRule="exact"/>
              <w:jc w:val="center"/>
              <w:rPr>
                <w:rFonts w:eastAsia="仿宋"/>
                <w:sz w:val="24"/>
              </w:rPr>
            </w:pPr>
            <w:r>
              <w:rPr>
                <w:rFonts w:eastAsia="仿宋"/>
                <w:sz w:val="24"/>
              </w:rPr>
              <w:t>周建波</w:t>
            </w:r>
          </w:p>
        </w:tc>
        <w:tc>
          <w:tcPr>
            <w:tcW w:w="812" w:type="dxa"/>
          </w:tcPr>
          <w:p>
            <w:pPr>
              <w:spacing w:line="400" w:lineRule="exact"/>
              <w:jc w:val="center"/>
              <w:rPr>
                <w:rFonts w:eastAsia="仿宋"/>
                <w:sz w:val="24"/>
              </w:rPr>
            </w:pPr>
            <w:r>
              <w:rPr>
                <w:rFonts w:eastAsia="仿宋"/>
                <w:sz w:val="24"/>
              </w:rPr>
              <w:t>男</w:t>
            </w:r>
          </w:p>
        </w:tc>
        <w:tc>
          <w:tcPr>
            <w:tcW w:w="1438" w:type="dxa"/>
          </w:tcPr>
          <w:p>
            <w:pPr>
              <w:spacing w:line="400" w:lineRule="exact"/>
              <w:jc w:val="center"/>
              <w:rPr>
                <w:rFonts w:eastAsia="仿宋"/>
                <w:sz w:val="24"/>
              </w:rPr>
            </w:pPr>
            <w:r>
              <w:rPr>
                <w:rFonts w:eastAsia="仿宋"/>
                <w:sz w:val="24"/>
              </w:rPr>
              <w:t>副研究员</w:t>
            </w:r>
          </w:p>
        </w:tc>
        <w:tc>
          <w:tcPr>
            <w:tcW w:w="3388" w:type="dxa"/>
          </w:tcPr>
          <w:p>
            <w:pPr>
              <w:spacing w:line="400" w:lineRule="exact"/>
              <w:jc w:val="center"/>
              <w:rPr>
                <w:rFonts w:eastAsia="仿宋"/>
                <w:sz w:val="24"/>
              </w:rPr>
            </w:pPr>
            <w:r>
              <w:rPr>
                <w:rFonts w:eastAsia="仿宋"/>
                <w:sz w:val="24"/>
              </w:rPr>
              <w:t>山西农业大学植物保护学院</w:t>
            </w:r>
          </w:p>
        </w:tc>
        <w:tc>
          <w:tcPr>
            <w:tcW w:w="1332" w:type="dxa"/>
          </w:tcPr>
          <w:p>
            <w:pPr>
              <w:spacing w:line="400" w:lineRule="exact"/>
              <w:jc w:val="center"/>
              <w:rPr>
                <w:rFonts w:eastAsia="仿宋"/>
                <w:sz w:val="24"/>
              </w:rPr>
            </w:pPr>
            <w:r>
              <w:rPr>
                <w:rFonts w:eastAsia="仿宋"/>
                <w:sz w:val="24"/>
              </w:rPr>
              <w:t>文本起草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tcPr>
          <w:p>
            <w:pPr>
              <w:spacing w:line="400" w:lineRule="exact"/>
              <w:jc w:val="center"/>
              <w:rPr>
                <w:rFonts w:eastAsia="仿宋"/>
                <w:sz w:val="24"/>
              </w:rPr>
            </w:pPr>
            <w:r>
              <w:rPr>
                <w:rFonts w:eastAsia="仿宋"/>
                <w:sz w:val="24"/>
              </w:rPr>
              <w:t>殷辉</w:t>
            </w:r>
          </w:p>
        </w:tc>
        <w:tc>
          <w:tcPr>
            <w:tcW w:w="812" w:type="dxa"/>
          </w:tcPr>
          <w:p>
            <w:pPr>
              <w:spacing w:line="400" w:lineRule="exact"/>
              <w:jc w:val="center"/>
              <w:rPr>
                <w:rFonts w:eastAsia="仿宋"/>
                <w:sz w:val="24"/>
              </w:rPr>
            </w:pPr>
            <w:r>
              <w:rPr>
                <w:rFonts w:eastAsia="仿宋"/>
                <w:sz w:val="24"/>
              </w:rPr>
              <w:t>男</w:t>
            </w:r>
          </w:p>
        </w:tc>
        <w:tc>
          <w:tcPr>
            <w:tcW w:w="1438" w:type="dxa"/>
          </w:tcPr>
          <w:p>
            <w:pPr>
              <w:spacing w:line="400" w:lineRule="exact"/>
              <w:jc w:val="center"/>
              <w:rPr>
                <w:rFonts w:eastAsia="仿宋"/>
                <w:sz w:val="24"/>
              </w:rPr>
            </w:pPr>
            <w:r>
              <w:rPr>
                <w:rFonts w:eastAsia="仿宋"/>
                <w:sz w:val="24"/>
              </w:rPr>
              <w:t>副研究员</w:t>
            </w:r>
          </w:p>
        </w:tc>
        <w:tc>
          <w:tcPr>
            <w:tcW w:w="3388" w:type="dxa"/>
          </w:tcPr>
          <w:p>
            <w:pPr>
              <w:spacing w:line="400" w:lineRule="exact"/>
              <w:jc w:val="center"/>
              <w:rPr>
                <w:rFonts w:eastAsia="仿宋"/>
                <w:sz w:val="24"/>
              </w:rPr>
            </w:pPr>
            <w:r>
              <w:rPr>
                <w:rFonts w:eastAsia="仿宋"/>
                <w:sz w:val="24"/>
              </w:rPr>
              <w:t>山西农业大学植物保护学院</w:t>
            </w:r>
          </w:p>
        </w:tc>
        <w:tc>
          <w:tcPr>
            <w:tcW w:w="1332" w:type="dxa"/>
          </w:tcPr>
          <w:p>
            <w:pPr>
              <w:spacing w:line="400" w:lineRule="exact"/>
              <w:jc w:val="center"/>
              <w:rPr>
                <w:rFonts w:eastAsia="仿宋"/>
                <w:sz w:val="24"/>
              </w:rPr>
            </w:pPr>
            <w:r>
              <w:rPr>
                <w:rFonts w:eastAsia="仿宋"/>
                <w:sz w:val="24"/>
              </w:rPr>
              <w:t>技术核实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24" w:type="dxa"/>
          </w:tcPr>
          <w:p>
            <w:pPr>
              <w:spacing w:line="400" w:lineRule="exact"/>
              <w:jc w:val="center"/>
              <w:rPr>
                <w:rFonts w:eastAsia="仿宋"/>
                <w:sz w:val="24"/>
              </w:rPr>
            </w:pPr>
            <w:r>
              <w:rPr>
                <w:rFonts w:eastAsia="仿宋"/>
                <w:sz w:val="24"/>
              </w:rPr>
              <w:t>赵晓军</w:t>
            </w:r>
          </w:p>
        </w:tc>
        <w:tc>
          <w:tcPr>
            <w:tcW w:w="812" w:type="dxa"/>
          </w:tcPr>
          <w:p>
            <w:pPr>
              <w:spacing w:line="400" w:lineRule="exact"/>
              <w:jc w:val="center"/>
              <w:rPr>
                <w:rFonts w:eastAsia="仿宋"/>
                <w:sz w:val="24"/>
              </w:rPr>
            </w:pPr>
            <w:r>
              <w:rPr>
                <w:rFonts w:eastAsia="仿宋"/>
                <w:sz w:val="24"/>
              </w:rPr>
              <w:t>男</w:t>
            </w:r>
          </w:p>
        </w:tc>
        <w:tc>
          <w:tcPr>
            <w:tcW w:w="1438" w:type="dxa"/>
          </w:tcPr>
          <w:p>
            <w:pPr>
              <w:spacing w:line="400" w:lineRule="exact"/>
              <w:jc w:val="center"/>
              <w:rPr>
                <w:rFonts w:eastAsia="仿宋"/>
                <w:sz w:val="24"/>
              </w:rPr>
            </w:pPr>
            <w:r>
              <w:rPr>
                <w:rFonts w:eastAsia="仿宋"/>
                <w:sz w:val="24"/>
              </w:rPr>
              <w:t>研究员</w:t>
            </w:r>
          </w:p>
        </w:tc>
        <w:tc>
          <w:tcPr>
            <w:tcW w:w="3388" w:type="dxa"/>
          </w:tcPr>
          <w:p>
            <w:pPr>
              <w:spacing w:line="400" w:lineRule="exact"/>
              <w:jc w:val="center"/>
              <w:rPr>
                <w:rFonts w:eastAsia="仿宋"/>
                <w:sz w:val="24"/>
              </w:rPr>
            </w:pPr>
            <w:r>
              <w:rPr>
                <w:rFonts w:eastAsia="仿宋"/>
                <w:sz w:val="24"/>
              </w:rPr>
              <w:t>山西农业大学植物保护学院</w:t>
            </w:r>
          </w:p>
        </w:tc>
        <w:tc>
          <w:tcPr>
            <w:tcW w:w="1332" w:type="dxa"/>
          </w:tcPr>
          <w:p>
            <w:pPr>
              <w:spacing w:line="400" w:lineRule="exact"/>
              <w:jc w:val="center"/>
              <w:rPr>
                <w:rFonts w:eastAsia="仿宋"/>
                <w:sz w:val="24"/>
              </w:rPr>
            </w:pPr>
            <w:r>
              <w:rPr>
                <w:rFonts w:eastAsia="仿宋"/>
                <w:sz w:val="24"/>
              </w:rPr>
              <w:t>示范推广</w:t>
            </w:r>
          </w:p>
        </w:tc>
      </w:tr>
    </w:tbl>
    <w:p>
      <w:pPr>
        <w:spacing w:line="360" w:lineRule="auto"/>
        <w:ind w:firstLine="480" w:firstLineChars="200"/>
        <w:outlineLvl w:val="0"/>
        <w:rPr>
          <w:rFonts w:eastAsia="楷体"/>
          <w:sz w:val="28"/>
          <w:szCs w:val="28"/>
        </w:rPr>
      </w:pPr>
      <w:r>
        <w:rPr>
          <w:rFonts w:eastAsia="黑体"/>
          <w:sz w:val="24"/>
        </w:rPr>
        <w:t>二、修订标准的必要性和意义</w:t>
      </w:r>
    </w:p>
    <w:p>
      <w:pPr>
        <w:spacing w:line="360" w:lineRule="auto"/>
        <w:ind w:firstLine="480" w:firstLineChars="200"/>
        <w:rPr>
          <w:rFonts w:eastAsia="仿宋_GB2312"/>
          <w:sz w:val="24"/>
        </w:rPr>
      </w:pPr>
      <w:r>
        <w:rPr>
          <w:rFonts w:eastAsia="仿宋_GB2312"/>
          <w:sz w:val="24"/>
        </w:rPr>
        <w:t>辣椒疫病是由辣椒疫霉菌（</w:t>
      </w:r>
      <w:r>
        <w:rPr>
          <w:rFonts w:eastAsia="仿宋_GB2312"/>
          <w:i/>
          <w:snapToGrid w:val="0"/>
          <w:spacing w:val="8"/>
          <w:sz w:val="24"/>
        </w:rPr>
        <w:t>Phytophthora capsici</w:t>
      </w:r>
      <w:r>
        <w:rPr>
          <w:rFonts w:eastAsia="仿宋_GB2312"/>
          <w:sz w:val="24"/>
        </w:rPr>
        <w:t>）引起的一种土传病害，造成减产、甚至绝收，现己成为世界范围内辣椒的毁灭性病害。山西省近几年辣椒疫病发生严重，发病率约40%，产量损失率约60%，大发生年份常常造成辣椒田绝收。尽管采取轮作换茬、高垄栽培、药剂灌根、土壤处理等一列的防治措施，取得了一定效果，但是解决疫病的根本途径还是抗病品种的使用。利用抗病育种是控制辣椒疫病最有效、经济及对环境安全的方法，是综合防治的核心措施。</w:t>
      </w:r>
    </w:p>
    <w:p>
      <w:pPr>
        <w:spacing w:line="360" w:lineRule="auto"/>
        <w:ind w:firstLine="480" w:firstLineChars="200"/>
        <w:rPr>
          <w:rFonts w:eastAsia="仿宋_GB2312"/>
          <w:sz w:val="24"/>
        </w:rPr>
      </w:pPr>
      <w:r>
        <w:rPr>
          <w:rFonts w:eastAsia="仿宋_GB2312"/>
          <w:sz w:val="24"/>
        </w:rPr>
        <w:t>抗病性鉴定是抗病育种工作的重要环节，主要目的是鉴别和评价植物材料的抗病性。然而，抗病性鉴定的接种方法和鉴定方法较为复杂，且田间鉴定易受环境和人为因素影响较大，易导致其鉴定结果也不精准。因此，采用统一的接种方法、鉴定方法及评价标准对辣椒品种的抗病性进行系统评价具有十分迫切的需求。</w:t>
      </w:r>
    </w:p>
    <w:p>
      <w:pPr>
        <w:spacing w:line="360" w:lineRule="auto"/>
        <w:ind w:firstLine="480" w:firstLineChars="200"/>
        <w:rPr>
          <w:rFonts w:eastAsia="仿宋_GB2312"/>
          <w:sz w:val="24"/>
        </w:rPr>
      </w:pPr>
      <w:r>
        <w:rPr>
          <w:rFonts w:eastAsia="仿宋_GB2312"/>
          <w:sz w:val="24"/>
        </w:rPr>
        <w:t>本标准基于切茎法进行辣椒育种材料田间抗疫病鉴定，于2017年颁布实施，至今已有近七年的时间，期间辣椒疫病研究和抗病育种已取得较大的发展，科研工作者和菜农对抗病性鉴定也有了新的认识，因此结合最新研究成果对本标准进行修订对于指导当前辣椒育种和菜农辣椒抗疫病品种品种选择具有重要的意义。</w:t>
      </w:r>
    </w:p>
    <w:p>
      <w:pPr>
        <w:spacing w:line="360" w:lineRule="auto"/>
        <w:ind w:firstLine="480" w:firstLineChars="200"/>
        <w:outlineLvl w:val="0"/>
        <w:rPr>
          <w:rFonts w:eastAsia="黑体"/>
          <w:sz w:val="24"/>
        </w:rPr>
      </w:pPr>
      <w:r>
        <w:rPr>
          <w:rFonts w:eastAsia="黑体"/>
          <w:sz w:val="24"/>
        </w:rPr>
        <w:t>三、主要修订工作过程</w:t>
      </w:r>
    </w:p>
    <w:p>
      <w:pPr>
        <w:spacing w:line="400" w:lineRule="exact"/>
        <w:ind w:firstLine="480" w:firstLineChars="200"/>
        <w:rPr>
          <w:rFonts w:eastAsia="仿宋_GB2312"/>
          <w:bCs/>
          <w:sz w:val="24"/>
        </w:rPr>
      </w:pPr>
      <w:r>
        <w:rPr>
          <w:rFonts w:eastAsia="仿宋_GB2312"/>
          <w:bCs/>
          <w:sz w:val="24"/>
        </w:rPr>
        <w:t>1、成立标准修订工作组</w:t>
      </w:r>
    </w:p>
    <w:p>
      <w:pPr>
        <w:spacing w:line="400" w:lineRule="exact"/>
        <w:ind w:firstLine="480" w:firstLineChars="200"/>
        <w:rPr>
          <w:rFonts w:eastAsia="仿宋_GB2312"/>
          <w:bCs/>
          <w:sz w:val="24"/>
        </w:rPr>
      </w:pPr>
      <w:r>
        <w:rPr>
          <w:rFonts w:eastAsia="仿宋_GB2312"/>
          <w:bCs/>
          <w:sz w:val="24"/>
        </w:rPr>
        <w:t>2023年8月，项目组召集原标准起草组相关人员，重新成立标准修订工作组。</w:t>
      </w:r>
    </w:p>
    <w:p>
      <w:pPr>
        <w:spacing w:line="400" w:lineRule="exact"/>
        <w:ind w:firstLine="480" w:firstLineChars="200"/>
        <w:rPr>
          <w:rFonts w:eastAsia="仿宋_GB2312"/>
          <w:bCs/>
          <w:sz w:val="24"/>
        </w:rPr>
      </w:pPr>
      <w:r>
        <w:rPr>
          <w:rFonts w:eastAsia="仿宋_GB2312"/>
          <w:bCs/>
          <w:sz w:val="24"/>
        </w:rPr>
        <w:t>2、调研考察</w:t>
      </w:r>
    </w:p>
    <w:p>
      <w:pPr>
        <w:spacing w:line="400" w:lineRule="exact"/>
        <w:ind w:firstLine="480" w:firstLineChars="200"/>
        <w:rPr>
          <w:rFonts w:eastAsia="仿宋_GB2312"/>
          <w:bCs/>
          <w:sz w:val="24"/>
        </w:rPr>
      </w:pPr>
      <w:r>
        <w:rPr>
          <w:rFonts w:eastAsia="仿宋_GB2312"/>
          <w:bCs/>
          <w:sz w:val="24"/>
        </w:rPr>
        <w:t>2023年8月-9月，工作组在山西省辣椒主产区朔州市、忻州市、临汾市等地进行辣椒种植模式、种植品种类型、抗性品种推广和接受度情况、抗病性评价方法等内容进行了实地调研和考察。</w:t>
      </w:r>
    </w:p>
    <w:p>
      <w:pPr>
        <w:spacing w:line="400" w:lineRule="exact"/>
        <w:ind w:firstLine="480" w:firstLineChars="200"/>
        <w:rPr>
          <w:rFonts w:eastAsia="仿宋_GB2312"/>
          <w:bCs/>
          <w:sz w:val="24"/>
        </w:rPr>
      </w:pPr>
      <w:r>
        <w:rPr>
          <w:rFonts w:eastAsia="仿宋_GB2312"/>
          <w:bCs/>
          <w:sz w:val="24"/>
        </w:rPr>
        <w:t>3、收集资料</w:t>
      </w:r>
    </w:p>
    <w:p>
      <w:pPr>
        <w:spacing w:line="400" w:lineRule="exact"/>
        <w:ind w:firstLine="480" w:firstLineChars="200"/>
        <w:rPr>
          <w:rFonts w:eastAsia="仿宋_GB2312"/>
          <w:bCs/>
          <w:sz w:val="24"/>
        </w:rPr>
      </w:pPr>
      <w:r>
        <w:rPr>
          <w:rFonts w:eastAsia="仿宋_GB2312"/>
          <w:bCs/>
          <w:sz w:val="24"/>
        </w:rPr>
        <w:t>2023年9月-12月，广泛查阅国内外辣椒育种、栽培、品质鉴定和疫病致病机理及防治方法等相关文献，对辣椒疫病发生特点及抗疫病辣椒品种特性进行全面分析，对现有发布相关标准及本标准原版涉及内容进行总结分析，为本标准的修订积累理论和数据支撑。</w:t>
      </w:r>
    </w:p>
    <w:p>
      <w:pPr>
        <w:spacing w:line="400" w:lineRule="exact"/>
        <w:ind w:firstLine="480" w:firstLineChars="200"/>
        <w:rPr>
          <w:rFonts w:eastAsia="仿宋_GB2312"/>
          <w:bCs/>
          <w:sz w:val="24"/>
        </w:rPr>
      </w:pPr>
      <w:r>
        <w:rPr>
          <w:rFonts w:eastAsia="仿宋_GB2312"/>
          <w:bCs/>
          <w:sz w:val="24"/>
        </w:rPr>
        <w:t>4、修订文本</w:t>
      </w:r>
    </w:p>
    <w:p>
      <w:pPr>
        <w:spacing w:line="400" w:lineRule="exact"/>
        <w:ind w:firstLine="480" w:firstLineChars="200"/>
        <w:rPr>
          <w:rFonts w:eastAsia="仿宋_GB2312"/>
          <w:bCs/>
          <w:sz w:val="24"/>
        </w:rPr>
      </w:pPr>
      <w:r>
        <w:rPr>
          <w:rFonts w:eastAsia="仿宋_GB2312"/>
          <w:bCs/>
          <w:sz w:val="24"/>
        </w:rPr>
        <w:t>2024年1月-3月，将标准文本征求意见稿邮箱发送至山西省园艺产业发展中心、山西省植物保护植物检疫中心、山西农业大学园艺学院、山西农业大学植物保护学院等单位的专家征求修改意见，并结合专家意见对标准文本进行了进一步的修订，形成报送稿。</w:t>
      </w:r>
    </w:p>
    <w:p>
      <w:pPr>
        <w:spacing w:line="400" w:lineRule="exact"/>
        <w:ind w:firstLine="480" w:firstLineChars="200"/>
        <w:rPr>
          <w:rFonts w:eastAsia="仿宋_GB2312"/>
          <w:bCs/>
          <w:sz w:val="24"/>
        </w:rPr>
      </w:pPr>
      <w:r>
        <w:rPr>
          <w:rFonts w:eastAsia="仿宋_GB2312"/>
          <w:bCs/>
          <w:sz w:val="24"/>
        </w:rPr>
        <w:t>5. 评审会</w:t>
      </w:r>
    </w:p>
    <w:p>
      <w:pPr>
        <w:spacing w:line="400" w:lineRule="exact"/>
        <w:ind w:firstLine="480" w:firstLineChars="200"/>
        <w:rPr>
          <w:rFonts w:eastAsia="仿宋_GB2312"/>
          <w:b/>
          <w:bCs/>
          <w:sz w:val="24"/>
        </w:rPr>
      </w:pPr>
      <w:r>
        <w:rPr>
          <w:rFonts w:eastAsia="仿宋_GB2312"/>
          <w:bCs/>
          <w:sz w:val="24"/>
        </w:rPr>
        <w:t>2024年3月24日，山西省市场监督管理局组织召开专家审查会，就标准送审稿中相关内容和技术参数进行了论证，修改后形成报批稿。</w:t>
      </w:r>
    </w:p>
    <w:p>
      <w:pPr>
        <w:spacing w:line="360" w:lineRule="auto"/>
        <w:ind w:firstLine="480" w:firstLineChars="200"/>
        <w:outlineLvl w:val="0"/>
        <w:rPr>
          <w:rFonts w:eastAsia="黑体"/>
          <w:sz w:val="24"/>
        </w:rPr>
      </w:pPr>
      <w:r>
        <w:rPr>
          <w:rFonts w:eastAsia="黑体"/>
          <w:sz w:val="24"/>
        </w:rPr>
        <w:t>四、制修订标准的原则和依据，与现行法律、法规、标准的关系</w:t>
      </w:r>
    </w:p>
    <w:p>
      <w:pPr>
        <w:spacing w:line="360" w:lineRule="auto"/>
        <w:ind w:firstLine="480" w:firstLineChars="200"/>
        <w:rPr>
          <w:rFonts w:eastAsia="仿宋_GB2312"/>
          <w:bCs/>
          <w:sz w:val="24"/>
        </w:rPr>
      </w:pPr>
      <w:r>
        <w:rPr>
          <w:rFonts w:eastAsia="仿宋_GB2312"/>
          <w:bCs/>
          <w:sz w:val="24"/>
        </w:rPr>
        <w:t>本标准严格遵循《中华人民共和国农业法》、《中华人民共和国农业技术推广法》等现行相关法律法规，同时注意协调。</w:t>
      </w:r>
    </w:p>
    <w:p>
      <w:pPr>
        <w:spacing w:line="360" w:lineRule="auto"/>
        <w:ind w:firstLine="480" w:firstLineChars="200"/>
        <w:rPr>
          <w:rFonts w:eastAsia="仿宋_GB2312"/>
          <w:bCs/>
          <w:sz w:val="24"/>
        </w:rPr>
      </w:pPr>
      <w:r>
        <w:rPr>
          <w:rFonts w:eastAsia="仿宋_GB2312"/>
          <w:bCs/>
          <w:sz w:val="24"/>
        </w:rPr>
        <w:t>本标准遵循国家行业标准《NY/T 2060.1-2011 辣椒抗病性鉴定技术规程 第1部分：辣椒抗疫病鉴定技术规程》的相关原则和内容，并在接种方法和调查标准上进行了改进，增加本标准的适用范围，降低相关试验对实验平台的要求。</w:t>
      </w:r>
    </w:p>
    <w:p>
      <w:pPr>
        <w:spacing w:line="360" w:lineRule="auto"/>
        <w:ind w:firstLine="480" w:firstLineChars="200"/>
        <w:outlineLvl w:val="0"/>
        <w:rPr>
          <w:rFonts w:eastAsia="黑体"/>
          <w:sz w:val="24"/>
        </w:rPr>
      </w:pPr>
      <w:r>
        <w:rPr>
          <w:rFonts w:eastAsia="黑体"/>
          <w:sz w:val="24"/>
        </w:rPr>
        <w:t>五、主要条款的说明，主要技术指标、参数、试验验证的分析、综合论述</w:t>
      </w:r>
    </w:p>
    <w:p>
      <w:pPr>
        <w:spacing w:line="400" w:lineRule="exact"/>
        <w:ind w:firstLine="480" w:firstLineChars="200"/>
        <w:rPr>
          <w:rFonts w:eastAsia="仿宋_GB2312"/>
          <w:bCs/>
          <w:sz w:val="24"/>
        </w:rPr>
      </w:pPr>
      <w:r>
        <w:rPr>
          <w:rFonts w:eastAsia="仿宋_GB2312"/>
          <w:bCs/>
          <w:sz w:val="24"/>
        </w:rPr>
        <w:t>标准起草组以“合法性、安全性、先进性、协调性和适用性”为修订原则，以文本结构更加合理、表述更加简洁、技术指标更加精准为修订目标，从文本格式和技术指标2个方面对文本进行了修订，其中：</w:t>
      </w:r>
    </w:p>
    <w:p>
      <w:pPr>
        <w:spacing w:line="400" w:lineRule="exact"/>
        <w:ind w:firstLine="480" w:firstLineChars="200"/>
        <w:rPr>
          <w:rFonts w:eastAsia="仿宋_GB2312"/>
          <w:bCs/>
          <w:sz w:val="24"/>
        </w:rPr>
      </w:pPr>
      <w:r>
        <w:rPr>
          <w:rFonts w:eastAsia="仿宋_GB2312"/>
          <w:bCs/>
          <w:sz w:val="24"/>
        </w:rPr>
        <w:t>1、涉及表述与编辑性修改的主要有1项：</w:t>
      </w:r>
    </w:p>
    <w:p>
      <w:pPr>
        <w:spacing w:line="400" w:lineRule="exact"/>
        <w:ind w:firstLine="480" w:firstLineChars="200"/>
        <w:rPr>
          <w:rFonts w:eastAsia="仿宋_GB2312"/>
          <w:bCs/>
          <w:sz w:val="24"/>
        </w:rPr>
      </w:pPr>
      <w:r>
        <w:rPr>
          <w:rFonts w:eastAsia="仿宋_GB2312"/>
          <w:bCs/>
          <w:sz w:val="24"/>
        </w:rPr>
        <w:t>（1）在标准文本中数字与单位符号间增加空格。修订原因：格式不规范；</w:t>
      </w:r>
    </w:p>
    <w:p>
      <w:pPr>
        <w:spacing w:line="400" w:lineRule="exact"/>
        <w:ind w:firstLine="480" w:firstLineChars="200"/>
        <w:rPr>
          <w:rFonts w:eastAsia="仿宋_GB2312"/>
          <w:bCs/>
          <w:sz w:val="24"/>
        </w:rPr>
      </w:pPr>
      <w:r>
        <w:rPr>
          <w:rFonts w:eastAsia="仿宋_GB2312"/>
          <w:bCs/>
          <w:sz w:val="24"/>
        </w:rPr>
        <w:t>2、涉及到的技术指标主要有5项：</w:t>
      </w:r>
    </w:p>
    <w:p>
      <w:pPr>
        <w:spacing w:line="400" w:lineRule="exact"/>
        <w:ind w:firstLine="480" w:firstLineChars="200"/>
        <w:rPr>
          <w:rFonts w:eastAsia="仿宋_GB2312"/>
          <w:bCs/>
          <w:sz w:val="24"/>
        </w:rPr>
      </w:pPr>
      <w:r>
        <w:rPr>
          <w:rFonts w:eastAsia="仿宋_GB2312"/>
          <w:bCs/>
          <w:sz w:val="24"/>
        </w:rPr>
        <w:t>（1）修订了抗病性田间鉴定的定义。修订原因及试验验证分析：突出田间鉴定是在自然条件下进行的。</w:t>
      </w:r>
    </w:p>
    <w:p>
      <w:pPr>
        <w:spacing w:line="400" w:lineRule="exact"/>
        <w:ind w:firstLine="480" w:firstLineChars="200"/>
        <w:rPr>
          <w:rFonts w:eastAsia="仿宋_GB2312"/>
          <w:bCs/>
          <w:sz w:val="24"/>
        </w:rPr>
      </w:pPr>
      <w:r>
        <w:rPr>
          <w:rFonts w:eastAsia="仿宋_GB2312"/>
          <w:bCs/>
          <w:sz w:val="24"/>
        </w:rPr>
        <w:t>（2）更改了保存病原菌内容。修订原因及试验验证分析：消除离心管品牌限制，使试验材料选择更容易。</w:t>
      </w:r>
    </w:p>
    <w:p>
      <w:pPr>
        <w:spacing w:line="400" w:lineRule="exact"/>
        <w:ind w:firstLine="480" w:firstLineChars="200"/>
        <w:rPr>
          <w:rFonts w:eastAsia="仿宋_GB2312"/>
          <w:bCs/>
          <w:sz w:val="24"/>
        </w:rPr>
      </w:pPr>
      <w:r>
        <w:rPr>
          <w:rFonts w:eastAsia="仿宋_GB2312"/>
          <w:bCs/>
          <w:sz w:val="24"/>
        </w:rPr>
        <w:t>（3）合并“5.2试验设计”与“5.3种植要求”相关内容，并进行了内容修改。修订原因及试验验证分析：取消鉴定材料份数限制，要求在抗性鉴定试验中均设置抗病、感病和高感的对照材料，使鉴定结果更准确，评价标准更全面；规定了鉴定小区面积与株行距范围，改正后的标准操作性和规范性更强。</w:t>
      </w:r>
    </w:p>
    <w:p>
      <w:pPr>
        <w:spacing w:line="400" w:lineRule="exact"/>
        <w:ind w:firstLine="480" w:firstLineChars="200"/>
        <w:rPr>
          <w:rFonts w:eastAsia="仿宋_GB2312"/>
          <w:bCs/>
          <w:sz w:val="24"/>
        </w:rPr>
      </w:pPr>
      <w:r>
        <w:rPr>
          <w:rFonts w:eastAsia="仿宋_GB2312"/>
          <w:bCs/>
          <w:sz w:val="24"/>
        </w:rPr>
        <w:t>（4）更改了接种后</w:t>
      </w:r>
      <w:r>
        <w:rPr>
          <w:rFonts w:hint="eastAsia" w:eastAsia="仿宋_GB2312"/>
          <w:bCs/>
          <w:sz w:val="24"/>
        </w:rPr>
        <w:t>的</w:t>
      </w:r>
      <w:r>
        <w:rPr>
          <w:rFonts w:eastAsia="仿宋_GB2312"/>
          <w:bCs/>
          <w:sz w:val="24"/>
        </w:rPr>
        <w:t>管理内容，</w:t>
      </w:r>
      <w:r>
        <w:rPr>
          <w:rFonts w:hint="eastAsia" w:eastAsia="仿宋_GB2312"/>
          <w:bCs/>
          <w:sz w:val="24"/>
        </w:rPr>
        <w:t>调换浇水</w:t>
      </w:r>
      <w:r>
        <w:rPr>
          <w:rFonts w:eastAsia="仿宋_GB2312"/>
          <w:bCs/>
          <w:sz w:val="24"/>
        </w:rPr>
        <w:t>和</w:t>
      </w:r>
      <w:r>
        <w:rPr>
          <w:rFonts w:hint="eastAsia" w:eastAsia="仿宋_GB2312"/>
          <w:bCs/>
          <w:sz w:val="24"/>
        </w:rPr>
        <w:t>去</w:t>
      </w:r>
      <w:r>
        <w:rPr>
          <w:rFonts w:eastAsia="仿宋_GB2312"/>
          <w:bCs/>
          <w:sz w:val="24"/>
        </w:rPr>
        <w:t>膜顺序。修订原因及试验验证分析：</w:t>
      </w:r>
      <w:r>
        <w:rPr>
          <w:rFonts w:hint="eastAsia" w:eastAsia="仿宋_GB2312"/>
          <w:bCs/>
          <w:sz w:val="24"/>
        </w:rPr>
        <w:t>接菌后浇水</w:t>
      </w:r>
      <w:r>
        <w:rPr>
          <w:rFonts w:eastAsia="仿宋_GB2312"/>
          <w:bCs/>
          <w:sz w:val="24"/>
        </w:rPr>
        <w:t>，</w:t>
      </w:r>
      <w:r>
        <w:rPr>
          <w:rFonts w:hint="eastAsia" w:eastAsia="仿宋_GB2312"/>
          <w:bCs/>
          <w:sz w:val="24"/>
        </w:rPr>
        <w:t>有利于疫霉菌</w:t>
      </w:r>
      <w:r>
        <w:rPr>
          <w:rFonts w:eastAsia="仿宋_GB2312"/>
          <w:bCs/>
          <w:sz w:val="24"/>
        </w:rPr>
        <w:t>侵染辣椒植株</w:t>
      </w:r>
      <w:r>
        <w:rPr>
          <w:rFonts w:hint="eastAsia" w:eastAsia="仿宋_GB2312"/>
          <w:bCs/>
          <w:sz w:val="24"/>
        </w:rPr>
        <w:t>，</w:t>
      </w:r>
      <w:r>
        <w:rPr>
          <w:rFonts w:eastAsia="仿宋_GB2312"/>
          <w:bCs/>
          <w:sz w:val="24"/>
        </w:rPr>
        <w:t>病原菌侵染后方可去膜。</w:t>
      </w:r>
    </w:p>
    <w:p>
      <w:pPr>
        <w:spacing w:line="400" w:lineRule="exact"/>
        <w:ind w:firstLine="480" w:firstLineChars="200"/>
        <w:rPr>
          <w:rFonts w:eastAsia="仿宋_GB2312"/>
          <w:bCs/>
          <w:sz w:val="24"/>
        </w:rPr>
      </w:pPr>
      <w:r>
        <w:rPr>
          <w:rFonts w:eastAsia="仿宋_GB2312"/>
          <w:bCs/>
          <w:sz w:val="24"/>
        </w:rPr>
        <w:t>（5）更改了调查时间和方法内容，规定了试验调查时间范围及调查操作方法。修订原因及试验验证分析：改正后的标准规范性更强。</w:t>
      </w:r>
    </w:p>
    <w:p>
      <w:pPr>
        <w:spacing w:line="360" w:lineRule="auto"/>
        <w:ind w:firstLine="480" w:firstLineChars="200"/>
        <w:outlineLvl w:val="0"/>
        <w:rPr>
          <w:rFonts w:eastAsia="黑体"/>
          <w:sz w:val="24"/>
        </w:rPr>
      </w:pPr>
      <w:r>
        <w:rPr>
          <w:rFonts w:eastAsia="黑体"/>
          <w:sz w:val="24"/>
        </w:rPr>
        <w:t>六、重大意见分歧的处理依据和结果</w:t>
      </w:r>
    </w:p>
    <w:p>
      <w:pPr>
        <w:spacing w:line="360" w:lineRule="auto"/>
        <w:ind w:firstLine="480" w:firstLineChars="200"/>
        <w:outlineLvl w:val="0"/>
        <w:rPr>
          <w:rFonts w:eastAsia="仿宋_GB2312"/>
          <w:sz w:val="24"/>
        </w:rPr>
      </w:pPr>
      <w:r>
        <w:rPr>
          <w:rFonts w:eastAsia="仿宋_GB2312"/>
          <w:sz w:val="24"/>
        </w:rPr>
        <w:t>无</w:t>
      </w:r>
    </w:p>
    <w:p>
      <w:pPr>
        <w:spacing w:line="360" w:lineRule="auto"/>
        <w:ind w:firstLine="480" w:firstLineChars="200"/>
        <w:outlineLvl w:val="0"/>
        <w:rPr>
          <w:rFonts w:eastAsia="黑体"/>
          <w:sz w:val="24"/>
        </w:rPr>
      </w:pPr>
      <w:r>
        <w:rPr>
          <w:rFonts w:eastAsia="黑体"/>
          <w:sz w:val="24"/>
        </w:rPr>
        <w:t>七、采标情况，是否合规引用或采用国际标准和国外先进标准，以及与国内外同类标准水平的对比情况</w:t>
      </w:r>
    </w:p>
    <w:p>
      <w:pPr>
        <w:spacing w:line="360" w:lineRule="auto"/>
        <w:ind w:firstLine="480" w:firstLineChars="200"/>
        <w:rPr>
          <w:rFonts w:eastAsia="仿宋_GB2312"/>
          <w:bCs/>
          <w:sz w:val="24"/>
        </w:rPr>
      </w:pPr>
      <w:r>
        <w:rPr>
          <w:rFonts w:eastAsia="仿宋_GB2312"/>
          <w:bCs/>
          <w:sz w:val="24"/>
        </w:rPr>
        <w:t>本标准遵循国家行业标准《NY/T 2060.1-2011 辣椒抗病性鉴定技术规程 第1部分：辣椒抗疫病鉴定技术规程》的相关原则和内容，同时，</w:t>
      </w:r>
      <w:r>
        <w:rPr>
          <w:rFonts w:eastAsia="仿宋_GB2312"/>
          <w:sz w:val="24"/>
        </w:rPr>
        <w:t>本标准还借鉴了其它植物抗病性鉴定方法，是技术更具科学性。</w:t>
      </w:r>
    </w:p>
    <w:p>
      <w:pPr>
        <w:spacing w:line="360" w:lineRule="auto"/>
        <w:ind w:firstLine="480" w:firstLineChars="200"/>
        <w:jc w:val="left"/>
        <w:outlineLvl w:val="1"/>
        <w:rPr>
          <w:rFonts w:eastAsia="仿宋_GB2312"/>
          <w:sz w:val="24"/>
        </w:rPr>
      </w:pPr>
      <w:r>
        <w:rPr>
          <w:rFonts w:eastAsia="仿宋_GB2312"/>
          <w:sz w:val="24"/>
        </w:rPr>
        <w:t>与现行的国标、行标及其它省市的地方标准相比较，本标准突出了以下几个方面的内容。</w:t>
      </w:r>
    </w:p>
    <w:p>
      <w:pPr>
        <w:spacing w:line="360" w:lineRule="auto"/>
        <w:ind w:firstLine="480" w:firstLineChars="200"/>
        <w:jc w:val="left"/>
        <w:outlineLvl w:val="1"/>
        <w:rPr>
          <w:rFonts w:eastAsia="仿宋_GB2312"/>
          <w:sz w:val="24"/>
        </w:rPr>
      </w:pPr>
      <w:r>
        <w:rPr>
          <w:rFonts w:eastAsia="仿宋_GB2312"/>
          <w:sz w:val="24"/>
        </w:rPr>
        <w:t>1. 本标准提出的辣椒抗疫病鉴定技术规程为田间鉴定，相比于室内鉴定，试验场所要求较低，标准的适用性范围提高；</w:t>
      </w:r>
    </w:p>
    <w:p>
      <w:pPr>
        <w:spacing w:line="360" w:lineRule="auto"/>
        <w:ind w:firstLine="480" w:firstLineChars="200"/>
        <w:jc w:val="left"/>
        <w:outlineLvl w:val="1"/>
        <w:rPr>
          <w:rFonts w:eastAsia="仿宋_GB2312"/>
          <w:sz w:val="24"/>
        </w:rPr>
      </w:pPr>
      <w:r>
        <w:rPr>
          <w:rFonts w:eastAsia="仿宋_GB2312"/>
          <w:sz w:val="24"/>
        </w:rPr>
        <w:t xml:space="preserve">2. 本标准提出的植株分支处切茎接种法，相比于传统的菌悬液灌根接种，操作更简便易学，非专业人员也可实施；建立的以切茎法为基础的辣椒疫病茎秆病情严重度级分级标准，病情调查受人为影响因素较小，更容易操作和记录，数据更准确，鉴定结果更可靠， </w:t>
      </w:r>
    </w:p>
    <w:p>
      <w:pPr>
        <w:spacing w:line="360" w:lineRule="auto"/>
        <w:ind w:firstLine="480" w:firstLineChars="200"/>
        <w:jc w:val="left"/>
        <w:outlineLvl w:val="1"/>
        <w:rPr>
          <w:rFonts w:eastAsia="仿宋_GB2312"/>
          <w:sz w:val="24"/>
        </w:rPr>
      </w:pPr>
      <w:r>
        <w:rPr>
          <w:rFonts w:eastAsia="仿宋_GB2312"/>
          <w:sz w:val="24"/>
        </w:rPr>
        <w:t>3. 本标准增加了辣椒疫霉菌（</w:t>
      </w:r>
      <w:r>
        <w:rPr>
          <w:rFonts w:eastAsia="仿宋_GB2312"/>
          <w:i/>
          <w:iCs/>
          <w:sz w:val="24"/>
        </w:rPr>
        <w:t>Phytophthora capsici</w:t>
      </w:r>
      <w:r>
        <w:rPr>
          <w:rFonts w:eastAsia="仿宋_GB2312"/>
          <w:sz w:val="24"/>
        </w:rPr>
        <w:t>）的分离方法、菌株形态鉴定及菌株保存等相关内容，更好地规范了辣椒抗疫病田间鉴定技术，更有利于非专业人士操作。</w:t>
      </w:r>
    </w:p>
    <w:p>
      <w:pPr>
        <w:spacing w:line="360" w:lineRule="auto"/>
        <w:ind w:firstLine="480" w:firstLineChars="200"/>
        <w:jc w:val="left"/>
        <w:outlineLvl w:val="1"/>
        <w:rPr>
          <w:rFonts w:eastAsia="仿宋_GB2312"/>
          <w:sz w:val="24"/>
        </w:rPr>
      </w:pPr>
      <w:r>
        <w:rPr>
          <w:rFonts w:eastAsia="仿宋_GB2312"/>
          <w:sz w:val="24"/>
        </w:rPr>
        <w:t>本标准所规定的的鉴定技术从标准发布前开始应用至今，已有近100份山西省内外辣椒育种材料利用该鉴定方法进行了抗疫病鉴定并通过了品种认定。</w:t>
      </w:r>
    </w:p>
    <w:p>
      <w:pPr>
        <w:spacing w:line="360" w:lineRule="auto"/>
        <w:ind w:firstLine="480" w:firstLineChars="200"/>
        <w:jc w:val="left"/>
        <w:rPr>
          <w:rFonts w:eastAsia="黑体"/>
          <w:sz w:val="24"/>
        </w:rPr>
      </w:pPr>
      <w:r>
        <w:rPr>
          <w:rFonts w:eastAsia="黑体"/>
          <w:sz w:val="24"/>
        </w:rPr>
        <w:t>八、作为推荐性标准或者强制性标准的建议及其理由。</w:t>
      </w:r>
    </w:p>
    <w:p>
      <w:pPr>
        <w:spacing w:line="360" w:lineRule="auto"/>
        <w:ind w:firstLine="480" w:firstLineChars="200"/>
        <w:jc w:val="left"/>
        <w:outlineLvl w:val="1"/>
        <w:rPr>
          <w:rFonts w:eastAsia="仿宋_GB2312"/>
          <w:sz w:val="24"/>
        </w:rPr>
      </w:pPr>
      <w:r>
        <w:rPr>
          <w:rFonts w:eastAsia="仿宋_GB2312"/>
          <w:sz w:val="24"/>
        </w:rPr>
        <w:t>建议本标准为推荐性标准。</w:t>
      </w:r>
    </w:p>
    <w:p>
      <w:pPr>
        <w:spacing w:line="360" w:lineRule="auto"/>
        <w:ind w:firstLine="480" w:firstLineChars="200"/>
        <w:outlineLvl w:val="0"/>
        <w:rPr>
          <w:rFonts w:eastAsia="黑体"/>
          <w:sz w:val="24"/>
        </w:rPr>
      </w:pPr>
      <w:r>
        <w:rPr>
          <w:rFonts w:eastAsia="黑体"/>
          <w:sz w:val="24"/>
        </w:rPr>
        <w:t>九、实施标准的措施建议</w:t>
      </w:r>
    </w:p>
    <w:p>
      <w:pPr>
        <w:spacing w:line="360" w:lineRule="auto"/>
        <w:ind w:firstLine="480" w:firstLineChars="200"/>
        <w:jc w:val="left"/>
        <w:outlineLvl w:val="1"/>
        <w:rPr>
          <w:rFonts w:eastAsia="仿宋_GB2312"/>
          <w:sz w:val="24"/>
        </w:rPr>
      </w:pPr>
      <w:r>
        <w:rPr>
          <w:rFonts w:eastAsia="仿宋_GB2312"/>
          <w:sz w:val="24"/>
        </w:rPr>
        <w:t>1、全省辣椒种植区的各级行政主管部门、基层推广部门进行技术宣传和推广；</w:t>
      </w:r>
    </w:p>
    <w:p>
      <w:pPr>
        <w:spacing w:line="360" w:lineRule="auto"/>
        <w:ind w:firstLine="480" w:firstLineChars="200"/>
        <w:jc w:val="left"/>
        <w:outlineLvl w:val="1"/>
        <w:rPr>
          <w:rFonts w:eastAsia="仿宋_GB2312"/>
          <w:sz w:val="24"/>
        </w:rPr>
      </w:pPr>
      <w:r>
        <w:rPr>
          <w:rFonts w:eastAsia="仿宋_GB2312"/>
          <w:sz w:val="24"/>
        </w:rPr>
        <w:t>2、标准起草单位通过项目实施，以现场会、培训会、实地指导、发放技术手册等形式在农业局、植保站、农村专业技术合作社中进行宣传和实施；</w:t>
      </w:r>
    </w:p>
    <w:p>
      <w:pPr>
        <w:spacing w:line="360" w:lineRule="auto"/>
        <w:ind w:firstLine="480" w:firstLineChars="200"/>
        <w:jc w:val="left"/>
        <w:outlineLvl w:val="1"/>
        <w:rPr>
          <w:rFonts w:eastAsia="仿宋_GB2312"/>
          <w:sz w:val="24"/>
        </w:rPr>
        <w:sectPr>
          <w:footerReference r:id="rId3" w:type="default"/>
          <w:pgSz w:w="11906" w:h="16838"/>
          <w:pgMar w:top="1440" w:right="1803" w:bottom="1440" w:left="1803" w:header="851" w:footer="992" w:gutter="0"/>
          <w:pgNumType w:start="1"/>
          <w:cols w:space="0" w:num="1"/>
          <w:titlePg/>
          <w:docGrid w:type="lines" w:linePitch="319" w:charSpace="0"/>
        </w:sectPr>
      </w:pPr>
      <w:r>
        <w:rPr>
          <w:rFonts w:eastAsia="仿宋_GB2312"/>
          <w:sz w:val="24"/>
        </w:rPr>
        <w:t>3、通过电视、网络、报刊等媒体进行大力宣传。</w:t>
      </w:r>
    </w:p>
    <w:p>
      <w:pPr>
        <w:tabs>
          <w:tab w:val="left" w:pos="11340"/>
        </w:tabs>
        <w:adjustRightInd w:val="0"/>
        <w:snapToGrid w:val="0"/>
        <w:spacing w:line="360" w:lineRule="auto"/>
        <w:jc w:val="center"/>
        <w:rPr>
          <w:b/>
          <w:sz w:val="32"/>
          <w:szCs w:val="32"/>
        </w:rPr>
      </w:pPr>
      <w:r>
        <w:rPr>
          <w:b/>
          <w:sz w:val="32"/>
          <w:szCs w:val="32"/>
        </w:rPr>
        <w:t>《辣椒抗疫病田间鉴定技术规程》地方标准征求意见汇总处理表</w:t>
      </w:r>
    </w:p>
    <w:p>
      <w:pPr>
        <w:tabs>
          <w:tab w:val="left" w:pos="11340"/>
        </w:tabs>
        <w:adjustRightInd w:val="0"/>
        <w:snapToGrid w:val="0"/>
        <w:spacing w:line="360" w:lineRule="auto"/>
        <w:rPr>
          <w:sz w:val="24"/>
        </w:rPr>
      </w:pPr>
      <w:r>
        <w:rPr>
          <w:szCs w:val="21"/>
        </w:rPr>
        <w:t xml:space="preserve"> </w:t>
      </w:r>
      <w:r>
        <w:rPr>
          <w:sz w:val="24"/>
        </w:rPr>
        <w:t xml:space="preserve">起草单位：山西农业大学       承办人：周建波         联系电话13546446067：     </w:t>
      </w:r>
      <w:r>
        <w:rPr>
          <w:rFonts w:hint="eastAsia"/>
          <w:sz w:val="24"/>
        </w:rPr>
        <w:t xml:space="preserve">  </w:t>
      </w:r>
      <w:r>
        <w:rPr>
          <w:sz w:val="24"/>
        </w:rPr>
        <w:t xml:space="preserve"> 填写时间：2024年2月20日</w:t>
      </w:r>
    </w:p>
    <w:tbl>
      <w:tblPr>
        <w:tblStyle w:val="11"/>
        <w:tblW w:w="14470" w:type="dxa"/>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681"/>
        <w:gridCol w:w="1533"/>
        <w:gridCol w:w="5473"/>
        <w:gridCol w:w="3016"/>
        <w:gridCol w:w="1750"/>
        <w:gridCol w:w="2017"/>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92" w:hRule="atLeast"/>
          <w:jc w:val="center"/>
        </w:trPr>
        <w:tc>
          <w:tcPr>
            <w:tcW w:w="681" w:type="dxa"/>
            <w:vAlign w:val="center"/>
          </w:tcPr>
          <w:p>
            <w:pPr>
              <w:adjustRightInd w:val="0"/>
              <w:snapToGrid w:val="0"/>
              <w:spacing w:line="360" w:lineRule="exact"/>
              <w:jc w:val="center"/>
              <w:rPr>
                <w:szCs w:val="21"/>
              </w:rPr>
            </w:pPr>
            <w:r>
              <w:rPr>
                <w:szCs w:val="21"/>
              </w:rPr>
              <w:t>序号</w:t>
            </w:r>
          </w:p>
        </w:tc>
        <w:tc>
          <w:tcPr>
            <w:tcW w:w="1533" w:type="dxa"/>
            <w:vAlign w:val="center"/>
          </w:tcPr>
          <w:p>
            <w:pPr>
              <w:adjustRightInd w:val="0"/>
              <w:snapToGrid w:val="0"/>
              <w:spacing w:line="360" w:lineRule="exact"/>
              <w:jc w:val="center"/>
              <w:rPr>
                <w:szCs w:val="21"/>
              </w:rPr>
            </w:pPr>
            <w:r>
              <w:rPr>
                <w:szCs w:val="21"/>
              </w:rPr>
              <w:t>标准章条编号</w:t>
            </w:r>
          </w:p>
        </w:tc>
        <w:tc>
          <w:tcPr>
            <w:tcW w:w="5473" w:type="dxa"/>
            <w:vAlign w:val="center"/>
          </w:tcPr>
          <w:p>
            <w:pPr>
              <w:adjustRightInd w:val="0"/>
              <w:snapToGrid w:val="0"/>
              <w:spacing w:line="360" w:lineRule="exact"/>
              <w:jc w:val="center"/>
              <w:rPr>
                <w:szCs w:val="21"/>
              </w:rPr>
            </w:pPr>
            <w:r>
              <w:rPr>
                <w:szCs w:val="21"/>
              </w:rPr>
              <w:t>意见内容</w:t>
            </w:r>
          </w:p>
        </w:tc>
        <w:tc>
          <w:tcPr>
            <w:tcW w:w="3016" w:type="dxa"/>
            <w:vAlign w:val="center"/>
          </w:tcPr>
          <w:p>
            <w:pPr>
              <w:adjustRightInd w:val="0"/>
              <w:snapToGrid w:val="0"/>
              <w:spacing w:line="360" w:lineRule="exact"/>
              <w:jc w:val="center"/>
              <w:rPr>
                <w:szCs w:val="21"/>
              </w:rPr>
            </w:pPr>
            <w:r>
              <w:rPr>
                <w:szCs w:val="21"/>
              </w:rPr>
              <w:t>提出单位（或个人）</w:t>
            </w:r>
          </w:p>
        </w:tc>
        <w:tc>
          <w:tcPr>
            <w:tcW w:w="1750" w:type="dxa"/>
            <w:vAlign w:val="center"/>
          </w:tcPr>
          <w:p>
            <w:pPr>
              <w:adjustRightInd w:val="0"/>
              <w:snapToGrid w:val="0"/>
              <w:spacing w:line="360" w:lineRule="exact"/>
              <w:jc w:val="center"/>
              <w:rPr>
                <w:szCs w:val="21"/>
              </w:rPr>
            </w:pPr>
            <w:r>
              <w:rPr>
                <w:szCs w:val="21"/>
              </w:rPr>
              <w:t>处理意见</w:t>
            </w:r>
          </w:p>
          <w:p>
            <w:pPr>
              <w:adjustRightInd w:val="0"/>
              <w:snapToGrid w:val="0"/>
              <w:spacing w:line="360" w:lineRule="exact"/>
              <w:jc w:val="center"/>
              <w:rPr>
                <w:szCs w:val="21"/>
              </w:rPr>
            </w:pPr>
            <w:r>
              <w:rPr>
                <w:szCs w:val="21"/>
              </w:rPr>
              <w:t>（采纳/不采纳）</w:t>
            </w:r>
          </w:p>
        </w:tc>
        <w:tc>
          <w:tcPr>
            <w:tcW w:w="2017" w:type="dxa"/>
            <w:vAlign w:val="center"/>
          </w:tcPr>
          <w:p>
            <w:pPr>
              <w:adjustRightInd w:val="0"/>
              <w:snapToGrid w:val="0"/>
              <w:spacing w:line="360" w:lineRule="exact"/>
              <w:jc w:val="center"/>
              <w:rPr>
                <w:szCs w:val="21"/>
              </w:rPr>
            </w:pPr>
            <w:r>
              <w:rPr>
                <w:szCs w:val="21"/>
              </w:rPr>
              <w:t>意见处理说明</w:t>
            </w:r>
          </w:p>
          <w:p>
            <w:pPr>
              <w:adjustRightInd w:val="0"/>
              <w:snapToGrid w:val="0"/>
              <w:spacing w:line="360" w:lineRule="exact"/>
              <w:jc w:val="center"/>
              <w:rPr>
                <w:szCs w:val="21"/>
              </w:rPr>
            </w:pPr>
            <w:r>
              <w:rPr>
                <w:szCs w:val="21"/>
              </w:rPr>
              <w:t>（不采纳的理由等）</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vAlign w:val="center"/>
          </w:tcPr>
          <w:p>
            <w:pPr>
              <w:adjustRightInd w:val="0"/>
              <w:snapToGrid w:val="0"/>
              <w:spacing w:line="360" w:lineRule="exact"/>
              <w:jc w:val="center"/>
              <w:rPr>
                <w:szCs w:val="21"/>
              </w:rPr>
            </w:pPr>
            <w:r>
              <w:rPr>
                <w:szCs w:val="21"/>
              </w:rPr>
              <w:t>1</w:t>
            </w:r>
          </w:p>
        </w:tc>
        <w:tc>
          <w:tcPr>
            <w:tcW w:w="1533" w:type="dxa"/>
            <w:vAlign w:val="center"/>
          </w:tcPr>
          <w:p>
            <w:pPr>
              <w:adjustRightInd w:val="0"/>
              <w:snapToGrid w:val="0"/>
              <w:spacing w:line="360" w:lineRule="exact"/>
              <w:jc w:val="center"/>
              <w:rPr>
                <w:szCs w:val="21"/>
              </w:rPr>
            </w:pPr>
            <w:r>
              <w:rPr>
                <w:szCs w:val="21"/>
              </w:rPr>
              <w:t>3.2</w:t>
            </w:r>
          </w:p>
        </w:tc>
        <w:tc>
          <w:tcPr>
            <w:tcW w:w="5473" w:type="dxa"/>
            <w:vAlign w:val="center"/>
          </w:tcPr>
          <w:p>
            <w:pPr>
              <w:adjustRightInd w:val="0"/>
              <w:snapToGrid w:val="0"/>
              <w:spacing w:line="360" w:lineRule="exact"/>
              <w:jc w:val="left"/>
              <w:rPr>
                <w:szCs w:val="21"/>
              </w:rPr>
            </w:pPr>
            <w:r>
              <w:rPr>
                <w:szCs w:val="21"/>
              </w:rPr>
              <w:t>增加“自然条件下”</w:t>
            </w:r>
          </w:p>
        </w:tc>
        <w:tc>
          <w:tcPr>
            <w:tcW w:w="3016" w:type="dxa"/>
            <w:vAlign w:val="center"/>
          </w:tcPr>
          <w:p>
            <w:pPr>
              <w:adjustRightInd w:val="0"/>
              <w:snapToGrid w:val="0"/>
              <w:spacing w:line="360" w:lineRule="exact"/>
              <w:jc w:val="center"/>
              <w:rPr>
                <w:szCs w:val="21"/>
              </w:rPr>
            </w:pPr>
            <w:r>
              <w:rPr>
                <w:szCs w:val="21"/>
              </w:rPr>
              <w:t>山西农业大学植物保护学院</w:t>
            </w:r>
          </w:p>
        </w:tc>
        <w:tc>
          <w:tcPr>
            <w:tcW w:w="1750" w:type="dxa"/>
            <w:vAlign w:val="center"/>
          </w:tcPr>
          <w:p>
            <w:pPr>
              <w:adjustRightInd w:val="0"/>
              <w:snapToGrid w:val="0"/>
              <w:spacing w:line="360" w:lineRule="exact"/>
              <w:jc w:val="center"/>
              <w:rPr>
                <w:szCs w:val="21"/>
              </w:rPr>
            </w:pPr>
            <w:r>
              <w:rPr>
                <w:szCs w:val="21"/>
              </w:rPr>
              <w:t>采纳</w:t>
            </w:r>
          </w:p>
        </w:tc>
        <w:tc>
          <w:tcPr>
            <w:tcW w:w="2017" w:type="dxa"/>
            <w:vAlign w:val="center"/>
          </w:tcPr>
          <w:p>
            <w:pPr>
              <w:adjustRightInd w:val="0"/>
              <w:snapToGrid w:val="0"/>
              <w:spacing w:line="360" w:lineRule="exact"/>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vAlign w:val="center"/>
          </w:tcPr>
          <w:p>
            <w:pPr>
              <w:adjustRightInd w:val="0"/>
              <w:snapToGrid w:val="0"/>
              <w:spacing w:line="360" w:lineRule="exact"/>
              <w:jc w:val="center"/>
              <w:rPr>
                <w:szCs w:val="21"/>
              </w:rPr>
            </w:pPr>
            <w:r>
              <w:rPr>
                <w:szCs w:val="21"/>
              </w:rPr>
              <w:t>2</w:t>
            </w:r>
          </w:p>
        </w:tc>
        <w:tc>
          <w:tcPr>
            <w:tcW w:w="1533" w:type="dxa"/>
            <w:vAlign w:val="center"/>
          </w:tcPr>
          <w:p>
            <w:pPr>
              <w:adjustRightInd w:val="0"/>
              <w:snapToGrid w:val="0"/>
              <w:spacing w:line="360" w:lineRule="exact"/>
              <w:jc w:val="center"/>
              <w:rPr>
                <w:szCs w:val="21"/>
              </w:rPr>
            </w:pPr>
            <w:r>
              <w:rPr>
                <w:szCs w:val="21"/>
              </w:rPr>
              <w:t>4.3.1</w:t>
            </w:r>
          </w:p>
          <w:p>
            <w:pPr>
              <w:adjustRightInd w:val="0"/>
              <w:snapToGrid w:val="0"/>
              <w:spacing w:line="360" w:lineRule="exact"/>
              <w:jc w:val="center"/>
              <w:rPr>
                <w:szCs w:val="21"/>
              </w:rPr>
            </w:pPr>
            <w:r>
              <w:rPr>
                <w:szCs w:val="21"/>
              </w:rPr>
              <w:t>4.3.2</w:t>
            </w:r>
          </w:p>
        </w:tc>
        <w:tc>
          <w:tcPr>
            <w:tcW w:w="5473" w:type="dxa"/>
            <w:vAlign w:val="center"/>
          </w:tcPr>
          <w:p>
            <w:pPr>
              <w:adjustRightInd w:val="0"/>
              <w:snapToGrid w:val="0"/>
              <w:spacing w:line="360" w:lineRule="exact"/>
              <w:jc w:val="left"/>
              <w:rPr>
                <w:szCs w:val="21"/>
              </w:rPr>
            </w:pPr>
            <w:r>
              <w:rPr>
                <w:szCs w:val="21"/>
              </w:rPr>
              <w:t>“扩繁病原菌””修改为“病原菌扩繁”，将“保存病原菌”修改为“病原菌保存”，与其他标题对应。</w:t>
            </w:r>
          </w:p>
        </w:tc>
        <w:tc>
          <w:tcPr>
            <w:tcW w:w="3016" w:type="dxa"/>
            <w:vAlign w:val="center"/>
          </w:tcPr>
          <w:p>
            <w:pPr>
              <w:adjustRightInd w:val="0"/>
              <w:snapToGrid w:val="0"/>
              <w:spacing w:line="360" w:lineRule="exact"/>
              <w:jc w:val="center"/>
              <w:rPr>
                <w:szCs w:val="21"/>
              </w:rPr>
            </w:pPr>
            <w:r>
              <w:rPr>
                <w:szCs w:val="21"/>
              </w:rPr>
              <w:t>山西省植物保护植物检疫中心山西省园艺产业发展中心</w:t>
            </w:r>
          </w:p>
        </w:tc>
        <w:tc>
          <w:tcPr>
            <w:tcW w:w="1750" w:type="dxa"/>
            <w:vAlign w:val="center"/>
          </w:tcPr>
          <w:p>
            <w:pPr>
              <w:adjustRightInd w:val="0"/>
              <w:snapToGrid w:val="0"/>
              <w:spacing w:line="360" w:lineRule="exact"/>
              <w:jc w:val="center"/>
              <w:rPr>
                <w:szCs w:val="21"/>
              </w:rPr>
            </w:pPr>
            <w:r>
              <w:rPr>
                <w:szCs w:val="21"/>
              </w:rPr>
              <w:t>采纳</w:t>
            </w:r>
          </w:p>
        </w:tc>
        <w:tc>
          <w:tcPr>
            <w:tcW w:w="2017" w:type="dxa"/>
            <w:vAlign w:val="center"/>
          </w:tcPr>
          <w:p>
            <w:pPr>
              <w:adjustRightInd w:val="0"/>
              <w:snapToGrid w:val="0"/>
              <w:spacing w:line="360" w:lineRule="exact"/>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vAlign w:val="center"/>
          </w:tcPr>
          <w:p>
            <w:pPr>
              <w:adjustRightInd w:val="0"/>
              <w:snapToGrid w:val="0"/>
              <w:spacing w:line="360" w:lineRule="exact"/>
              <w:jc w:val="center"/>
              <w:rPr>
                <w:szCs w:val="21"/>
              </w:rPr>
            </w:pPr>
            <w:r>
              <w:rPr>
                <w:szCs w:val="21"/>
              </w:rPr>
              <w:t>3</w:t>
            </w:r>
          </w:p>
        </w:tc>
        <w:tc>
          <w:tcPr>
            <w:tcW w:w="1533" w:type="dxa"/>
            <w:vAlign w:val="center"/>
          </w:tcPr>
          <w:p>
            <w:pPr>
              <w:adjustRightInd w:val="0"/>
              <w:snapToGrid w:val="0"/>
              <w:spacing w:line="360" w:lineRule="exact"/>
              <w:jc w:val="center"/>
              <w:rPr>
                <w:szCs w:val="21"/>
              </w:rPr>
            </w:pPr>
            <w:r>
              <w:rPr>
                <w:szCs w:val="21"/>
              </w:rPr>
              <w:t>5.2</w:t>
            </w:r>
          </w:p>
        </w:tc>
        <w:tc>
          <w:tcPr>
            <w:tcW w:w="5473" w:type="dxa"/>
            <w:vAlign w:val="center"/>
          </w:tcPr>
          <w:p>
            <w:pPr>
              <w:adjustRightInd w:val="0"/>
              <w:snapToGrid w:val="0"/>
              <w:spacing w:line="360" w:lineRule="exact"/>
              <w:jc w:val="left"/>
              <w:rPr>
                <w:szCs w:val="21"/>
              </w:rPr>
            </w:pPr>
            <w:r>
              <w:rPr>
                <w:szCs w:val="21"/>
              </w:rPr>
              <w:t>精简试验设计内容</w:t>
            </w:r>
          </w:p>
        </w:tc>
        <w:tc>
          <w:tcPr>
            <w:tcW w:w="3016" w:type="dxa"/>
            <w:vAlign w:val="center"/>
          </w:tcPr>
          <w:p>
            <w:pPr>
              <w:adjustRightInd w:val="0"/>
              <w:snapToGrid w:val="0"/>
              <w:spacing w:line="360" w:lineRule="exact"/>
              <w:jc w:val="center"/>
              <w:rPr>
                <w:szCs w:val="21"/>
              </w:rPr>
            </w:pPr>
            <w:r>
              <w:rPr>
                <w:szCs w:val="21"/>
              </w:rPr>
              <w:t>山西省园艺产业发展中心</w:t>
            </w:r>
          </w:p>
        </w:tc>
        <w:tc>
          <w:tcPr>
            <w:tcW w:w="1750" w:type="dxa"/>
            <w:vAlign w:val="center"/>
          </w:tcPr>
          <w:p>
            <w:pPr>
              <w:adjustRightInd w:val="0"/>
              <w:snapToGrid w:val="0"/>
              <w:spacing w:line="360" w:lineRule="exact"/>
              <w:jc w:val="center"/>
              <w:rPr>
                <w:szCs w:val="21"/>
              </w:rPr>
            </w:pPr>
            <w:r>
              <w:rPr>
                <w:szCs w:val="21"/>
              </w:rPr>
              <w:t>采纳</w:t>
            </w:r>
          </w:p>
        </w:tc>
        <w:tc>
          <w:tcPr>
            <w:tcW w:w="2017" w:type="dxa"/>
            <w:vAlign w:val="center"/>
          </w:tcPr>
          <w:p>
            <w:pPr>
              <w:adjustRightInd w:val="0"/>
              <w:snapToGrid w:val="0"/>
              <w:spacing w:line="360" w:lineRule="exact"/>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vAlign w:val="center"/>
          </w:tcPr>
          <w:p>
            <w:pPr>
              <w:adjustRightInd w:val="0"/>
              <w:snapToGrid w:val="0"/>
              <w:spacing w:line="360" w:lineRule="exact"/>
              <w:jc w:val="center"/>
              <w:rPr>
                <w:szCs w:val="21"/>
              </w:rPr>
            </w:pPr>
            <w:r>
              <w:rPr>
                <w:szCs w:val="21"/>
              </w:rPr>
              <w:t>4</w:t>
            </w:r>
          </w:p>
        </w:tc>
        <w:tc>
          <w:tcPr>
            <w:tcW w:w="1533" w:type="dxa"/>
            <w:vAlign w:val="center"/>
          </w:tcPr>
          <w:p>
            <w:pPr>
              <w:adjustRightInd w:val="0"/>
              <w:snapToGrid w:val="0"/>
              <w:spacing w:line="360" w:lineRule="exact"/>
              <w:jc w:val="center"/>
              <w:rPr>
                <w:szCs w:val="21"/>
              </w:rPr>
            </w:pPr>
            <w:r>
              <w:rPr>
                <w:szCs w:val="21"/>
              </w:rPr>
              <w:t>5.3</w:t>
            </w:r>
          </w:p>
        </w:tc>
        <w:tc>
          <w:tcPr>
            <w:tcW w:w="5473" w:type="dxa"/>
            <w:vAlign w:val="center"/>
          </w:tcPr>
          <w:p>
            <w:pPr>
              <w:adjustRightInd w:val="0"/>
              <w:snapToGrid w:val="0"/>
              <w:spacing w:line="360" w:lineRule="exact"/>
              <w:jc w:val="left"/>
              <w:rPr>
                <w:szCs w:val="21"/>
              </w:rPr>
            </w:pPr>
            <w:r>
              <w:rPr>
                <w:szCs w:val="21"/>
              </w:rPr>
              <w:t>细化种植要求内容</w:t>
            </w:r>
          </w:p>
        </w:tc>
        <w:tc>
          <w:tcPr>
            <w:tcW w:w="3016" w:type="dxa"/>
            <w:vAlign w:val="center"/>
          </w:tcPr>
          <w:p>
            <w:pPr>
              <w:adjustRightInd w:val="0"/>
              <w:snapToGrid w:val="0"/>
              <w:spacing w:line="360" w:lineRule="exact"/>
              <w:jc w:val="center"/>
              <w:rPr>
                <w:szCs w:val="21"/>
              </w:rPr>
            </w:pPr>
            <w:r>
              <w:rPr>
                <w:szCs w:val="21"/>
              </w:rPr>
              <w:t>山西农业大学园艺学院</w:t>
            </w:r>
          </w:p>
        </w:tc>
        <w:tc>
          <w:tcPr>
            <w:tcW w:w="1750" w:type="dxa"/>
            <w:vAlign w:val="center"/>
          </w:tcPr>
          <w:p>
            <w:pPr>
              <w:adjustRightInd w:val="0"/>
              <w:snapToGrid w:val="0"/>
              <w:spacing w:line="360" w:lineRule="exact"/>
              <w:jc w:val="center"/>
              <w:rPr>
                <w:szCs w:val="21"/>
              </w:rPr>
            </w:pPr>
            <w:r>
              <w:rPr>
                <w:szCs w:val="21"/>
              </w:rPr>
              <w:t>采纳</w:t>
            </w:r>
          </w:p>
        </w:tc>
        <w:tc>
          <w:tcPr>
            <w:tcW w:w="2017" w:type="dxa"/>
            <w:vAlign w:val="center"/>
          </w:tcPr>
          <w:p>
            <w:pPr>
              <w:adjustRightInd w:val="0"/>
              <w:snapToGrid w:val="0"/>
              <w:spacing w:line="360" w:lineRule="exact"/>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vAlign w:val="center"/>
          </w:tcPr>
          <w:p>
            <w:pPr>
              <w:adjustRightInd w:val="0"/>
              <w:snapToGrid w:val="0"/>
              <w:spacing w:line="360" w:lineRule="exact"/>
              <w:jc w:val="center"/>
              <w:rPr>
                <w:szCs w:val="21"/>
              </w:rPr>
            </w:pPr>
            <w:r>
              <w:rPr>
                <w:szCs w:val="21"/>
              </w:rPr>
              <w:t>5</w:t>
            </w:r>
          </w:p>
        </w:tc>
        <w:tc>
          <w:tcPr>
            <w:tcW w:w="1533" w:type="dxa"/>
            <w:vAlign w:val="center"/>
          </w:tcPr>
          <w:p>
            <w:pPr>
              <w:adjustRightInd w:val="0"/>
              <w:snapToGrid w:val="0"/>
              <w:spacing w:line="360" w:lineRule="exact"/>
              <w:jc w:val="center"/>
              <w:rPr>
                <w:szCs w:val="21"/>
              </w:rPr>
            </w:pPr>
            <w:r>
              <w:rPr>
                <w:szCs w:val="21"/>
              </w:rPr>
              <w:t>7.1</w:t>
            </w:r>
          </w:p>
        </w:tc>
        <w:tc>
          <w:tcPr>
            <w:tcW w:w="5473" w:type="dxa"/>
            <w:vAlign w:val="center"/>
          </w:tcPr>
          <w:p>
            <w:pPr>
              <w:adjustRightInd w:val="0"/>
              <w:snapToGrid w:val="0"/>
              <w:spacing w:line="360" w:lineRule="exact"/>
              <w:jc w:val="left"/>
              <w:rPr>
                <w:szCs w:val="21"/>
              </w:rPr>
            </w:pPr>
            <w:r>
              <w:rPr>
                <w:szCs w:val="21"/>
              </w:rPr>
              <w:t>精简调查时间和方法内容</w:t>
            </w:r>
          </w:p>
        </w:tc>
        <w:tc>
          <w:tcPr>
            <w:tcW w:w="3016" w:type="dxa"/>
            <w:vAlign w:val="center"/>
          </w:tcPr>
          <w:p>
            <w:pPr>
              <w:adjustRightInd w:val="0"/>
              <w:snapToGrid w:val="0"/>
              <w:spacing w:line="360" w:lineRule="exact"/>
              <w:jc w:val="center"/>
              <w:rPr>
                <w:szCs w:val="21"/>
              </w:rPr>
            </w:pPr>
            <w:r>
              <w:rPr>
                <w:szCs w:val="21"/>
              </w:rPr>
              <w:t>山西省植物保护植物检疫中心山西农业大学植物保护学院</w:t>
            </w:r>
          </w:p>
        </w:tc>
        <w:tc>
          <w:tcPr>
            <w:tcW w:w="1750" w:type="dxa"/>
            <w:vAlign w:val="center"/>
          </w:tcPr>
          <w:p>
            <w:pPr>
              <w:adjustRightInd w:val="0"/>
              <w:snapToGrid w:val="0"/>
              <w:spacing w:line="360" w:lineRule="exact"/>
              <w:jc w:val="center"/>
              <w:rPr>
                <w:szCs w:val="21"/>
              </w:rPr>
            </w:pPr>
            <w:r>
              <w:rPr>
                <w:szCs w:val="21"/>
              </w:rPr>
              <w:t>采纳</w:t>
            </w:r>
          </w:p>
        </w:tc>
        <w:tc>
          <w:tcPr>
            <w:tcW w:w="2017" w:type="dxa"/>
            <w:vAlign w:val="center"/>
          </w:tcPr>
          <w:p>
            <w:pPr>
              <w:adjustRightInd w:val="0"/>
              <w:snapToGrid w:val="0"/>
              <w:spacing w:line="360" w:lineRule="exact"/>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vAlign w:val="center"/>
          </w:tcPr>
          <w:p>
            <w:pPr>
              <w:adjustRightInd w:val="0"/>
              <w:snapToGrid w:val="0"/>
              <w:spacing w:line="360" w:lineRule="exact"/>
              <w:jc w:val="center"/>
              <w:rPr>
                <w:szCs w:val="21"/>
              </w:rPr>
            </w:pPr>
            <w:r>
              <w:rPr>
                <w:szCs w:val="21"/>
              </w:rPr>
              <w:t>6</w:t>
            </w:r>
          </w:p>
        </w:tc>
        <w:tc>
          <w:tcPr>
            <w:tcW w:w="1533" w:type="dxa"/>
            <w:vAlign w:val="center"/>
          </w:tcPr>
          <w:p>
            <w:pPr>
              <w:adjustRightInd w:val="0"/>
              <w:snapToGrid w:val="0"/>
              <w:spacing w:line="360" w:lineRule="exact"/>
              <w:jc w:val="center"/>
              <w:rPr>
                <w:szCs w:val="21"/>
              </w:rPr>
            </w:pPr>
            <w:r>
              <w:rPr>
                <w:szCs w:val="21"/>
              </w:rPr>
              <w:t>7.1</w:t>
            </w:r>
          </w:p>
        </w:tc>
        <w:tc>
          <w:tcPr>
            <w:tcW w:w="5473" w:type="dxa"/>
            <w:vAlign w:val="center"/>
          </w:tcPr>
          <w:p>
            <w:pPr>
              <w:adjustRightInd w:val="0"/>
              <w:snapToGrid w:val="0"/>
              <w:spacing w:line="360" w:lineRule="exact"/>
              <w:jc w:val="left"/>
              <w:rPr>
                <w:szCs w:val="21"/>
              </w:rPr>
            </w:pPr>
            <w:r>
              <w:rPr>
                <w:szCs w:val="21"/>
              </w:rPr>
              <w:t>题目分条表述以增加文本的条理性</w:t>
            </w:r>
          </w:p>
        </w:tc>
        <w:tc>
          <w:tcPr>
            <w:tcW w:w="3016" w:type="dxa"/>
            <w:vAlign w:val="center"/>
          </w:tcPr>
          <w:p>
            <w:pPr>
              <w:adjustRightInd w:val="0"/>
              <w:snapToGrid w:val="0"/>
              <w:spacing w:line="360" w:lineRule="exact"/>
              <w:jc w:val="center"/>
              <w:rPr>
                <w:szCs w:val="21"/>
              </w:rPr>
            </w:pPr>
            <w:r>
              <w:rPr>
                <w:szCs w:val="21"/>
              </w:rPr>
              <w:t>山西省园艺产业发展中心</w:t>
            </w:r>
          </w:p>
        </w:tc>
        <w:tc>
          <w:tcPr>
            <w:tcW w:w="1750" w:type="dxa"/>
            <w:vAlign w:val="center"/>
          </w:tcPr>
          <w:p>
            <w:pPr>
              <w:adjustRightInd w:val="0"/>
              <w:snapToGrid w:val="0"/>
              <w:spacing w:line="360" w:lineRule="exact"/>
              <w:jc w:val="center"/>
              <w:rPr>
                <w:szCs w:val="21"/>
              </w:rPr>
            </w:pPr>
            <w:r>
              <w:rPr>
                <w:szCs w:val="21"/>
              </w:rPr>
              <w:t>不采纳</w:t>
            </w:r>
          </w:p>
        </w:tc>
        <w:tc>
          <w:tcPr>
            <w:tcW w:w="2017" w:type="dxa"/>
            <w:vAlign w:val="center"/>
          </w:tcPr>
          <w:p>
            <w:pPr>
              <w:adjustRightInd w:val="0"/>
              <w:snapToGrid w:val="0"/>
              <w:spacing w:line="360" w:lineRule="exact"/>
              <w:jc w:val="center"/>
              <w:rPr>
                <w:szCs w:val="21"/>
              </w:rPr>
            </w:pPr>
            <w:r>
              <w:rPr>
                <w:szCs w:val="21"/>
              </w:rPr>
              <w:t>条目过多，影响连贯</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vAlign w:val="bottom"/>
          </w:tcPr>
          <w:p>
            <w:pPr>
              <w:adjustRightInd w:val="0"/>
              <w:snapToGrid w:val="0"/>
              <w:spacing w:line="360" w:lineRule="exact"/>
              <w:jc w:val="center"/>
              <w:rPr>
                <w:szCs w:val="21"/>
              </w:rPr>
            </w:pPr>
            <w:r>
              <w:rPr>
                <w:szCs w:val="21"/>
              </w:rPr>
              <w:t>7</w:t>
            </w:r>
          </w:p>
        </w:tc>
        <w:tc>
          <w:tcPr>
            <w:tcW w:w="1533" w:type="dxa"/>
            <w:vAlign w:val="bottom"/>
          </w:tcPr>
          <w:p>
            <w:pPr>
              <w:adjustRightInd w:val="0"/>
              <w:snapToGrid w:val="0"/>
              <w:spacing w:line="360" w:lineRule="exact"/>
              <w:jc w:val="center"/>
              <w:rPr>
                <w:szCs w:val="21"/>
              </w:rPr>
            </w:pPr>
          </w:p>
        </w:tc>
        <w:tc>
          <w:tcPr>
            <w:tcW w:w="5473" w:type="dxa"/>
            <w:vAlign w:val="bottom"/>
          </w:tcPr>
          <w:p>
            <w:pPr>
              <w:adjustRightInd w:val="0"/>
              <w:snapToGrid w:val="0"/>
              <w:spacing w:line="360" w:lineRule="exact"/>
              <w:rPr>
                <w:szCs w:val="21"/>
              </w:rPr>
            </w:pPr>
          </w:p>
        </w:tc>
        <w:tc>
          <w:tcPr>
            <w:tcW w:w="3016" w:type="dxa"/>
            <w:vAlign w:val="bottom"/>
          </w:tcPr>
          <w:p>
            <w:pPr>
              <w:adjustRightInd w:val="0"/>
              <w:snapToGrid w:val="0"/>
              <w:spacing w:line="360" w:lineRule="exact"/>
              <w:jc w:val="center"/>
              <w:rPr>
                <w:szCs w:val="21"/>
              </w:rPr>
            </w:pPr>
          </w:p>
        </w:tc>
        <w:tc>
          <w:tcPr>
            <w:tcW w:w="1750" w:type="dxa"/>
            <w:vAlign w:val="bottom"/>
          </w:tcPr>
          <w:p>
            <w:pPr>
              <w:adjustRightInd w:val="0"/>
              <w:snapToGrid w:val="0"/>
              <w:spacing w:line="360" w:lineRule="exact"/>
              <w:jc w:val="center"/>
              <w:rPr>
                <w:szCs w:val="21"/>
              </w:rPr>
            </w:pPr>
          </w:p>
        </w:tc>
        <w:tc>
          <w:tcPr>
            <w:tcW w:w="2017" w:type="dxa"/>
            <w:vAlign w:val="bottom"/>
          </w:tcPr>
          <w:p>
            <w:pPr>
              <w:adjustRightInd w:val="0"/>
              <w:snapToGrid w:val="0"/>
              <w:spacing w:line="360" w:lineRule="exact"/>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vAlign w:val="bottom"/>
          </w:tcPr>
          <w:p>
            <w:pPr>
              <w:adjustRightInd w:val="0"/>
              <w:snapToGrid w:val="0"/>
              <w:spacing w:line="360" w:lineRule="exact"/>
              <w:jc w:val="center"/>
              <w:rPr>
                <w:szCs w:val="21"/>
              </w:rPr>
            </w:pPr>
            <w:r>
              <w:rPr>
                <w:szCs w:val="21"/>
              </w:rPr>
              <w:t>8</w:t>
            </w:r>
          </w:p>
        </w:tc>
        <w:tc>
          <w:tcPr>
            <w:tcW w:w="1533" w:type="dxa"/>
            <w:vAlign w:val="bottom"/>
          </w:tcPr>
          <w:p>
            <w:pPr>
              <w:adjustRightInd w:val="0"/>
              <w:snapToGrid w:val="0"/>
              <w:spacing w:line="360" w:lineRule="exact"/>
              <w:jc w:val="center"/>
              <w:rPr>
                <w:szCs w:val="21"/>
              </w:rPr>
            </w:pPr>
          </w:p>
        </w:tc>
        <w:tc>
          <w:tcPr>
            <w:tcW w:w="5473" w:type="dxa"/>
            <w:vAlign w:val="bottom"/>
          </w:tcPr>
          <w:p>
            <w:pPr>
              <w:adjustRightInd w:val="0"/>
              <w:snapToGrid w:val="0"/>
              <w:spacing w:line="360" w:lineRule="exact"/>
              <w:rPr>
                <w:szCs w:val="21"/>
              </w:rPr>
            </w:pPr>
          </w:p>
        </w:tc>
        <w:tc>
          <w:tcPr>
            <w:tcW w:w="3016" w:type="dxa"/>
            <w:vAlign w:val="bottom"/>
          </w:tcPr>
          <w:p>
            <w:pPr>
              <w:adjustRightInd w:val="0"/>
              <w:snapToGrid w:val="0"/>
              <w:spacing w:line="360" w:lineRule="exact"/>
              <w:jc w:val="center"/>
              <w:rPr>
                <w:szCs w:val="21"/>
              </w:rPr>
            </w:pPr>
          </w:p>
        </w:tc>
        <w:tc>
          <w:tcPr>
            <w:tcW w:w="1750" w:type="dxa"/>
            <w:vAlign w:val="bottom"/>
          </w:tcPr>
          <w:p>
            <w:pPr>
              <w:adjustRightInd w:val="0"/>
              <w:snapToGrid w:val="0"/>
              <w:spacing w:line="360" w:lineRule="exact"/>
              <w:jc w:val="center"/>
              <w:rPr>
                <w:szCs w:val="21"/>
              </w:rPr>
            </w:pPr>
          </w:p>
        </w:tc>
        <w:tc>
          <w:tcPr>
            <w:tcW w:w="2017" w:type="dxa"/>
            <w:vAlign w:val="bottom"/>
          </w:tcPr>
          <w:p>
            <w:pPr>
              <w:adjustRightInd w:val="0"/>
              <w:snapToGrid w:val="0"/>
              <w:spacing w:line="360" w:lineRule="exact"/>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14470" w:type="dxa"/>
            <w:gridSpan w:val="6"/>
            <w:vAlign w:val="bottom"/>
          </w:tcPr>
          <w:p>
            <w:pPr>
              <w:adjustRightInd w:val="0"/>
              <w:snapToGrid w:val="0"/>
              <w:spacing w:line="360" w:lineRule="exact"/>
              <w:ind w:firstLine="420" w:firstLineChars="200"/>
              <w:rPr>
                <w:szCs w:val="21"/>
              </w:rPr>
            </w:pPr>
            <w:r>
              <w:rPr>
                <w:szCs w:val="21"/>
              </w:rPr>
              <w:t>说明：1、针对明确回复无意见的单位，请在“意见内容”中注明无意见，在“提出单位”中列出无意见单位的名称。</w:t>
            </w:r>
          </w:p>
          <w:p>
            <w:pPr>
              <w:adjustRightInd w:val="0"/>
              <w:snapToGrid w:val="0"/>
              <w:spacing w:line="360" w:lineRule="exact"/>
              <w:ind w:left="1208" w:leftChars="475" w:hanging="210" w:hangingChars="100"/>
              <w:rPr>
                <w:szCs w:val="21"/>
              </w:rPr>
            </w:pPr>
            <w:r>
              <w:rPr>
                <w:szCs w:val="21"/>
              </w:rPr>
              <w:t>2、发送征求意见稿单位数</w:t>
            </w:r>
            <w:r>
              <w:rPr>
                <w:szCs w:val="21"/>
                <w:u w:val="single"/>
              </w:rPr>
              <w:t>4</w:t>
            </w:r>
            <w:r>
              <w:rPr>
                <w:szCs w:val="21"/>
              </w:rPr>
              <w:t>个；回到征求意见稿回函的单位数</w:t>
            </w:r>
            <w:r>
              <w:rPr>
                <w:szCs w:val="21"/>
                <w:u w:val="single"/>
              </w:rPr>
              <w:t>4</w:t>
            </w:r>
            <w:r>
              <w:rPr>
                <w:szCs w:val="21"/>
              </w:rPr>
              <w:t>个；收到征求意见稿并提出意见的单位数</w:t>
            </w:r>
            <w:r>
              <w:rPr>
                <w:szCs w:val="21"/>
                <w:u w:val="single"/>
              </w:rPr>
              <w:t>4</w:t>
            </w:r>
            <w:r>
              <w:rPr>
                <w:szCs w:val="21"/>
              </w:rPr>
              <w:t>个；没有回函的单位数</w:t>
            </w:r>
            <w:r>
              <w:rPr>
                <w:szCs w:val="21"/>
                <w:u w:val="single"/>
              </w:rPr>
              <w:t>0</w:t>
            </w:r>
            <w:r>
              <w:rPr>
                <w:szCs w:val="21"/>
              </w:rPr>
              <w:t>个，共收到</w:t>
            </w:r>
            <w:r>
              <w:rPr>
                <w:szCs w:val="21"/>
                <w:u w:val="single"/>
              </w:rPr>
              <w:t xml:space="preserve">  6</w:t>
            </w:r>
            <w:r>
              <w:rPr>
                <w:szCs w:val="21"/>
              </w:rPr>
              <w:t>条意见，采纳</w:t>
            </w:r>
            <w:r>
              <w:rPr>
                <w:szCs w:val="21"/>
                <w:u w:val="single"/>
              </w:rPr>
              <w:t>5</w:t>
            </w:r>
            <w:r>
              <w:rPr>
                <w:szCs w:val="21"/>
              </w:rPr>
              <w:t>条意见，部分采纳</w:t>
            </w:r>
            <w:r>
              <w:rPr>
                <w:szCs w:val="21"/>
                <w:u w:val="single"/>
              </w:rPr>
              <w:t>0</w:t>
            </w:r>
            <w:r>
              <w:rPr>
                <w:szCs w:val="21"/>
              </w:rPr>
              <w:t>条意见，未采纳</w:t>
            </w:r>
            <w:r>
              <w:rPr>
                <w:szCs w:val="21"/>
                <w:u w:val="single"/>
              </w:rPr>
              <w:t>1</w:t>
            </w:r>
            <w:r>
              <w:rPr>
                <w:szCs w:val="21"/>
              </w:rPr>
              <w:t>条意见。</w:t>
            </w:r>
          </w:p>
        </w:tc>
      </w:tr>
    </w:tbl>
    <w:p>
      <w:pPr>
        <w:spacing w:line="360" w:lineRule="auto"/>
        <w:ind w:firstLine="480" w:firstLineChars="200"/>
        <w:jc w:val="left"/>
        <w:outlineLvl w:val="1"/>
        <w:rPr>
          <w:rFonts w:eastAsia="仿宋_GB2312"/>
          <w:sz w:val="24"/>
        </w:rPr>
      </w:pPr>
    </w:p>
    <w:sectPr>
      <w:pgSz w:w="16838" w:h="11906" w:orient="landscape"/>
      <w:pgMar w:top="1803" w:right="1440" w:bottom="1803" w:left="1440" w:header="851" w:footer="992" w:gutter="0"/>
      <w:pgNumType w:start="1"/>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angal">
    <w:altName w:val="Noto Sans Syriac Eastern"/>
    <w:panose1 w:val="02040503050203030202"/>
    <w:charset w:val="00"/>
    <w:family w:val="roman"/>
    <w:pitch w:val="default"/>
    <w:sig w:usb0="00000000" w:usb1="00000000" w:usb2="00000000" w:usb3="00000000" w:csb0="0000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4</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9"/>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0"/>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NotTrackMoves/>
  <w:documentProtection w:enforcement="0"/>
  <w:defaultTabStop w:val="420"/>
  <w:drawingGridHorizontalSpacing w:val="105"/>
  <w:drawingGridVerticalSpacing w:val="159"/>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hNGZlYjhkZmQ4MTllNzA3ZjdkMDQzNTY4YWNlNDEifQ=="/>
  </w:docVars>
  <w:rsids>
    <w:rsidRoot w:val="00636FC5"/>
    <w:rsid w:val="00001C9C"/>
    <w:rsid w:val="00002121"/>
    <w:rsid w:val="00003D4E"/>
    <w:rsid w:val="0001430A"/>
    <w:rsid w:val="000173E8"/>
    <w:rsid w:val="000203B7"/>
    <w:rsid w:val="00021FC1"/>
    <w:rsid w:val="00024D73"/>
    <w:rsid w:val="00025BA5"/>
    <w:rsid w:val="000263AF"/>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97E7F"/>
    <w:rsid w:val="000A23F9"/>
    <w:rsid w:val="000A281F"/>
    <w:rsid w:val="000B59DE"/>
    <w:rsid w:val="000C1548"/>
    <w:rsid w:val="000C203B"/>
    <w:rsid w:val="000C24FA"/>
    <w:rsid w:val="000C2F16"/>
    <w:rsid w:val="000C3919"/>
    <w:rsid w:val="000C5AE1"/>
    <w:rsid w:val="000C62FE"/>
    <w:rsid w:val="000D66ED"/>
    <w:rsid w:val="000D7E22"/>
    <w:rsid w:val="000E0029"/>
    <w:rsid w:val="000E0518"/>
    <w:rsid w:val="000E5DDF"/>
    <w:rsid w:val="000F4C5F"/>
    <w:rsid w:val="00104D9E"/>
    <w:rsid w:val="001079E4"/>
    <w:rsid w:val="00114B28"/>
    <w:rsid w:val="001273EF"/>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5680"/>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95E2E"/>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869"/>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D1EEB"/>
    <w:rsid w:val="005E5E7B"/>
    <w:rsid w:val="005F020B"/>
    <w:rsid w:val="005F3B9E"/>
    <w:rsid w:val="005F3DB9"/>
    <w:rsid w:val="005F5D65"/>
    <w:rsid w:val="005F76FB"/>
    <w:rsid w:val="00604181"/>
    <w:rsid w:val="006047BC"/>
    <w:rsid w:val="00604E2D"/>
    <w:rsid w:val="0060567D"/>
    <w:rsid w:val="00611A58"/>
    <w:rsid w:val="00614AA4"/>
    <w:rsid w:val="0061644E"/>
    <w:rsid w:val="00616FC1"/>
    <w:rsid w:val="00620469"/>
    <w:rsid w:val="006206EA"/>
    <w:rsid w:val="0063154F"/>
    <w:rsid w:val="00633B19"/>
    <w:rsid w:val="00633EF1"/>
    <w:rsid w:val="00636FC5"/>
    <w:rsid w:val="006400BA"/>
    <w:rsid w:val="00640E17"/>
    <w:rsid w:val="00641B9A"/>
    <w:rsid w:val="006423BB"/>
    <w:rsid w:val="00642628"/>
    <w:rsid w:val="006467CA"/>
    <w:rsid w:val="006500A2"/>
    <w:rsid w:val="0066172F"/>
    <w:rsid w:val="00662AD1"/>
    <w:rsid w:val="00663745"/>
    <w:rsid w:val="0066733B"/>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43C2A"/>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0A08"/>
    <w:rsid w:val="008519FE"/>
    <w:rsid w:val="00856ECE"/>
    <w:rsid w:val="00862581"/>
    <w:rsid w:val="00863825"/>
    <w:rsid w:val="008729C9"/>
    <w:rsid w:val="00874B45"/>
    <w:rsid w:val="00880EC6"/>
    <w:rsid w:val="008847EB"/>
    <w:rsid w:val="00884A91"/>
    <w:rsid w:val="008935DA"/>
    <w:rsid w:val="008A1B81"/>
    <w:rsid w:val="008A36A4"/>
    <w:rsid w:val="008A699E"/>
    <w:rsid w:val="008A6D37"/>
    <w:rsid w:val="008B7F7F"/>
    <w:rsid w:val="008C1D81"/>
    <w:rsid w:val="008C4583"/>
    <w:rsid w:val="008E256F"/>
    <w:rsid w:val="008E454E"/>
    <w:rsid w:val="008F1AAD"/>
    <w:rsid w:val="008F5288"/>
    <w:rsid w:val="008F7F32"/>
    <w:rsid w:val="0091113A"/>
    <w:rsid w:val="00914528"/>
    <w:rsid w:val="00915F25"/>
    <w:rsid w:val="009166F0"/>
    <w:rsid w:val="00916E3B"/>
    <w:rsid w:val="00920385"/>
    <w:rsid w:val="009211BD"/>
    <w:rsid w:val="0092160B"/>
    <w:rsid w:val="0092627B"/>
    <w:rsid w:val="00934199"/>
    <w:rsid w:val="009358E1"/>
    <w:rsid w:val="00936A6B"/>
    <w:rsid w:val="00946EA7"/>
    <w:rsid w:val="00953792"/>
    <w:rsid w:val="009705E2"/>
    <w:rsid w:val="00975940"/>
    <w:rsid w:val="0098254B"/>
    <w:rsid w:val="00983D55"/>
    <w:rsid w:val="0098417D"/>
    <w:rsid w:val="009875C5"/>
    <w:rsid w:val="00991DF6"/>
    <w:rsid w:val="0099572B"/>
    <w:rsid w:val="00996196"/>
    <w:rsid w:val="0099787D"/>
    <w:rsid w:val="009A2CD5"/>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B4E54"/>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2AC3"/>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3D86"/>
    <w:rsid w:val="00BD5606"/>
    <w:rsid w:val="00BE2554"/>
    <w:rsid w:val="00BE3B52"/>
    <w:rsid w:val="00BE465C"/>
    <w:rsid w:val="00BF7A59"/>
    <w:rsid w:val="00C0419D"/>
    <w:rsid w:val="00C05123"/>
    <w:rsid w:val="00C06C73"/>
    <w:rsid w:val="00C131D1"/>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B310B"/>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76657"/>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48DD"/>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2C8"/>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15A"/>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17240DE"/>
    <w:rsid w:val="0DFE11D3"/>
    <w:rsid w:val="0ED10695"/>
    <w:rsid w:val="0F07055B"/>
    <w:rsid w:val="10ED552F"/>
    <w:rsid w:val="16FE11C3"/>
    <w:rsid w:val="177BA51A"/>
    <w:rsid w:val="185F6D12"/>
    <w:rsid w:val="1EF1268E"/>
    <w:rsid w:val="25FF38E2"/>
    <w:rsid w:val="2A047719"/>
    <w:rsid w:val="2AA131BA"/>
    <w:rsid w:val="2B6F5066"/>
    <w:rsid w:val="2D850B71"/>
    <w:rsid w:val="2E367F0A"/>
    <w:rsid w:val="2F4371A9"/>
    <w:rsid w:val="329B4993"/>
    <w:rsid w:val="38D806EF"/>
    <w:rsid w:val="3D25D500"/>
    <w:rsid w:val="3EEF98DD"/>
    <w:rsid w:val="3F9FD22F"/>
    <w:rsid w:val="3FC966CF"/>
    <w:rsid w:val="4081341A"/>
    <w:rsid w:val="470749E1"/>
    <w:rsid w:val="498C4925"/>
    <w:rsid w:val="4BC4004C"/>
    <w:rsid w:val="4C8147A2"/>
    <w:rsid w:val="4F7B247E"/>
    <w:rsid w:val="57D94567"/>
    <w:rsid w:val="5CFF1606"/>
    <w:rsid w:val="5DFFCE9C"/>
    <w:rsid w:val="5FB81DCD"/>
    <w:rsid w:val="6370314E"/>
    <w:rsid w:val="63BD8BA4"/>
    <w:rsid w:val="652E506F"/>
    <w:rsid w:val="670342D9"/>
    <w:rsid w:val="67F105D6"/>
    <w:rsid w:val="687C4343"/>
    <w:rsid w:val="6BFEE3C0"/>
    <w:rsid w:val="6BFF0146"/>
    <w:rsid w:val="6EFD90F7"/>
    <w:rsid w:val="721816B3"/>
    <w:rsid w:val="72DE18B7"/>
    <w:rsid w:val="731F4C6C"/>
    <w:rsid w:val="7329008F"/>
    <w:rsid w:val="7419513C"/>
    <w:rsid w:val="77C6AB6B"/>
    <w:rsid w:val="77FF4F98"/>
    <w:rsid w:val="79FF0142"/>
    <w:rsid w:val="7A925C48"/>
    <w:rsid w:val="7BFB120F"/>
    <w:rsid w:val="7C980C0D"/>
    <w:rsid w:val="7D036989"/>
    <w:rsid w:val="7F7F1836"/>
    <w:rsid w:val="7FDE9EE2"/>
    <w:rsid w:val="93EEA786"/>
    <w:rsid w:val="9CFB7DEA"/>
    <w:rsid w:val="ADAF1DB9"/>
    <w:rsid w:val="B5FF0B5B"/>
    <w:rsid w:val="B76B45F2"/>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6"/>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99"/>
    <w:pPr>
      <w:suppressLineNumbers/>
      <w:suppressAutoHyphens/>
      <w:spacing w:before="120" w:after="120"/>
    </w:pPr>
    <w:rPr>
      <w:rFonts w:cs="Mangal"/>
      <w:i/>
      <w:iCs/>
      <w:kern w:val="21"/>
      <w:sz w:val="24"/>
      <w:lang w:eastAsia="ar-SA"/>
    </w:rPr>
  </w:style>
  <w:style w:type="paragraph" w:styleId="5">
    <w:name w:val="Body Text"/>
    <w:basedOn w:val="1"/>
    <w:link w:val="26"/>
    <w:qFormat/>
    <w:uiPriority w:val="0"/>
    <w:pPr>
      <w:spacing w:after="120"/>
    </w:pPr>
  </w:style>
  <w:style w:type="paragraph" w:styleId="6">
    <w:name w:val="Date"/>
    <w:basedOn w:val="1"/>
    <w:next w:val="1"/>
    <w:link w:val="25"/>
    <w:semiHidden/>
    <w:unhideWhenUsed/>
    <w:qFormat/>
    <w:uiPriority w:val="99"/>
    <w:pPr>
      <w:ind w:left="100" w:leftChars="2500"/>
    </w:p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qFormat/>
    <w:uiPriority w:val="99"/>
    <w:rPr>
      <w:rFonts w:cs="Times New Roman"/>
      <w:b/>
    </w:rPr>
  </w:style>
  <w:style w:type="character" w:customStyle="1" w:styleId="15">
    <w:name w:val="标题 1 Char"/>
    <w:link w:val="2"/>
    <w:qFormat/>
    <w:locked/>
    <w:uiPriority w:val="99"/>
    <w:rPr>
      <w:rFonts w:cs="Times New Roman"/>
      <w:b/>
      <w:kern w:val="1"/>
      <w:sz w:val="44"/>
      <w:lang w:eastAsia="ar-SA" w:bidi="ar-SA"/>
    </w:rPr>
  </w:style>
  <w:style w:type="character" w:customStyle="1" w:styleId="16">
    <w:name w:val="标题 3 Char"/>
    <w:link w:val="3"/>
    <w:qFormat/>
    <w:locked/>
    <w:uiPriority w:val="99"/>
    <w:rPr>
      <w:rFonts w:cs="Times New Roman"/>
      <w:b/>
      <w:kern w:val="21"/>
      <w:sz w:val="32"/>
      <w:lang w:eastAsia="ar-SA" w:bidi="ar-SA"/>
    </w:rPr>
  </w:style>
  <w:style w:type="paragraph" w:styleId="17">
    <w:name w:val="List Paragraph"/>
    <w:basedOn w:val="1"/>
    <w:qFormat/>
    <w:uiPriority w:val="99"/>
    <w:pPr>
      <w:suppressAutoHyphens/>
      <w:ind w:firstLine="420" w:firstLineChars="200"/>
    </w:pPr>
    <w:rPr>
      <w:kern w:val="21"/>
      <w:lang w:eastAsia="ar-SA"/>
    </w:rPr>
  </w:style>
  <w:style w:type="paragraph" w:customStyle="1" w:styleId="18">
    <w:name w:val="段"/>
    <w:link w:val="1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9">
    <w:name w:val="段 Char"/>
    <w:link w:val="18"/>
    <w:qFormat/>
    <w:locked/>
    <w:uiPriority w:val="0"/>
    <w:rPr>
      <w:rFonts w:ascii="宋体" w:cs="Times New Roman"/>
      <w:sz w:val="21"/>
      <w:lang w:val="en-US" w:eastAsia="zh-CN" w:bidi="ar-SA"/>
    </w:rPr>
  </w:style>
  <w:style w:type="character" w:customStyle="1" w:styleId="20">
    <w:name w:val="页眉 Char"/>
    <w:link w:val="9"/>
    <w:qFormat/>
    <w:uiPriority w:val="99"/>
    <w:rPr>
      <w:sz w:val="18"/>
      <w:szCs w:val="18"/>
    </w:rPr>
  </w:style>
  <w:style w:type="character" w:customStyle="1" w:styleId="21">
    <w:name w:val="页脚 Char"/>
    <w:link w:val="8"/>
    <w:qFormat/>
    <w:uiPriority w:val="99"/>
    <w:rPr>
      <w:sz w:val="18"/>
      <w:szCs w:val="18"/>
    </w:rPr>
  </w:style>
  <w:style w:type="character" w:customStyle="1" w:styleId="22">
    <w:name w:val="批注框文本 Char"/>
    <w:link w:val="7"/>
    <w:semiHidden/>
    <w:qFormat/>
    <w:uiPriority w:val="99"/>
    <w:rPr>
      <w:kern w:val="2"/>
      <w:sz w:val="18"/>
      <w:szCs w:val="18"/>
    </w:rPr>
  </w:style>
  <w:style w:type="table" w:customStyle="1" w:styleId="23">
    <w:name w:val="浅色底纹1"/>
    <w:basedOn w:val="11"/>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4">
    <w:name w:val="浅色底纹2"/>
    <w:basedOn w:val="11"/>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5">
    <w:name w:val="日期 Char"/>
    <w:basedOn w:val="13"/>
    <w:link w:val="6"/>
    <w:semiHidden/>
    <w:qFormat/>
    <w:uiPriority w:val="99"/>
    <w:rPr>
      <w:kern w:val="2"/>
      <w:sz w:val="21"/>
      <w:szCs w:val="24"/>
    </w:rPr>
  </w:style>
  <w:style w:type="character" w:customStyle="1" w:styleId="26">
    <w:name w:val="正文文本 Char"/>
    <w:basedOn w:val="13"/>
    <w:link w:val="5"/>
    <w:qFormat/>
    <w:uiPriority w:val="0"/>
    <w:rPr>
      <w:kern w:val="2"/>
      <w:sz w:val="21"/>
      <w:szCs w:val="24"/>
    </w:rPr>
  </w:style>
  <w:style w:type="paragraph" w:customStyle="1" w:styleId="27">
    <w:name w:val="标准文件_段"/>
    <w:link w:val="2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8">
    <w:name w:val="标准文件_段 Char"/>
    <w:link w:val="27"/>
    <w:qFormat/>
    <w:uiPriority w:val="0"/>
    <w:rPr>
      <w:rFonts w:ascii="宋体"/>
      <w:sz w:val="21"/>
    </w:rPr>
  </w:style>
  <w:style w:type="paragraph" w:customStyle="1" w:styleId="29">
    <w:name w:val="一级条标题"/>
    <w:next w:val="18"/>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0">
    <w:name w:val="二级条标题"/>
    <w:basedOn w:val="29"/>
    <w:next w:val="18"/>
    <w:qFormat/>
    <w:uiPriority w:val="0"/>
    <w:pPr>
      <w:numPr>
        <w:ilvl w:val="2"/>
      </w:numPr>
      <w:spacing w:before="50" w:after="50"/>
      <w:outlineLvl w:val="3"/>
    </w:pPr>
  </w:style>
  <w:style w:type="paragraph" w:customStyle="1" w:styleId="31">
    <w:name w:val="附录表标题"/>
    <w:basedOn w:val="1"/>
    <w:next w:val="18"/>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515</Words>
  <Characters>2938</Characters>
  <Lines>24</Lines>
  <Paragraphs>6</Paragraphs>
  <TotalTime>11</TotalTime>
  <ScaleCrop>false</ScaleCrop>
  <LinksUpToDate>false</LinksUpToDate>
  <CharactersWithSpaces>3447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baixin</cp:lastModifiedBy>
  <cp:lastPrinted>2017-01-19T07:31:00Z</cp:lastPrinted>
  <dcterms:modified xsi:type="dcterms:W3CDTF">2024-07-12T15:37:29Z</dcterms:modified>
  <cp:revision>561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16DEC057891D4C0DB8764FBC7996C205_13</vt:lpwstr>
  </property>
</Properties>
</file>