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/>
          <w:b/>
          <w:sz w:val="32"/>
          <w:szCs w:val="32"/>
        </w:rPr>
      </w:pPr>
    </w:p>
    <w:p>
      <w:pPr>
        <w:jc w:val="center"/>
        <w:rPr>
          <w:rFonts w:ascii="宋体"/>
          <w:b/>
          <w:sz w:val="32"/>
          <w:szCs w:val="32"/>
        </w:rPr>
      </w:pPr>
    </w:p>
    <w:p>
      <w:pPr>
        <w:jc w:val="center"/>
        <w:rPr>
          <w:rFonts w:ascii="宋体"/>
          <w:b/>
          <w:sz w:val="32"/>
          <w:szCs w:val="32"/>
        </w:rPr>
      </w:pPr>
    </w:p>
    <w:p>
      <w:pPr>
        <w:spacing w:line="360" w:lineRule="auto"/>
        <w:jc w:val="center"/>
        <w:rPr>
          <w:rFonts w:ascii="黑体" w:eastAsia="黑体" w:hAnsiTheme="minorHAnsi" w:cstheme="minorBidi"/>
          <w:b/>
          <w:kern w:val="22"/>
          <w:sz w:val="44"/>
          <w:szCs w:val="44"/>
        </w:rPr>
      </w:pPr>
      <w:r>
        <w:rPr>
          <w:rFonts w:hint="eastAsia" w:ascii="黑体" w:eastAsia="黑体" w:hAnsiTheme="minorHAnsi" w:cstheme="minorBidi"/>
          <w:b/>
          <w:kern w:val="22"/>
          <w:sz w:val="44"/>
          <w:szCs w:val="44"/>
        </w:rPr>
        <w:t>山西省地方标准</w:t>
      </w:r>
    </w:p>
    <w:p>
      <w:pPr>
        <w:spacing w:line="360" w:lineRule="auto"/>
        <w:jc w:val="center"/>
        <w:rPr>
          <w:rFonts w:ascii="黑体" w:eastAsia="黑体" w:hAnsiTheme="minorHAnsi" w:cstheme="minorBidi"/>
          <w:b/>
          <w:kern w:val="22"/>
          <w:sz w:val="44"/>
          <w:szCs w:val="44"/>
        </w:rPr>
      </w:pPr>
      <w:r>
        <w:rPr>
          <w:rFonts w:hint="eastAsia" w:ascii="黑体" w:eastAsia="黑体" w:hAnsiTheme="minorHAnsi" w:cstheme="minorBidi"/>
          <w:b/>
          <w:kern w:val="22"/>
          <w:sz w:val="44"/>
          <w:szCs w:val="44"/>
        </w:rPr>
        <w:t>《大白菜制种技术规程》</w:t>
      </w:r>
    </w:p>
    <w:p>
      <w:pPr>
        <w:spacing w:line="360" w:lineRule="auto"/>
        <w:jc w:val="center"/>
        <w:rPr>
          <w:rFonts w:ascii="黑体" w:eastAsia="黑体" w:hAnsiTheme="minorHAnsi" w:cstheme="minorBidi"/>
          <w:b/>
          <w:kern w:val="22"/>
          <w:sz w:val="44"/>
          <w:szCs w:val="44"/>
        </w:rPr>
      </w:pPr>
      <w:r>
        <w:rPr>
          <w:rFonts w:hint="eastAsia" w:ascii="黑体" w:eastAsia="黑体" w:hAnsiTheme="minorHAnsi" w:cstheme="minorBidi"/>
          <w:b/>
          <w:kern w:val="22"/>
          <w:sz w:val="44"/>
          <w:szCs w:val="44"/>
        </w:rPr>
        <w:t>编制说明</w:t>
      </w:r>
    </w:p>
    <w:p>
      <w:pPr>
        <w:ind w:firstLine="642" w:firstLineChars="200"/>
        <w:rPr>
          <w:rFonts w:ascii="仿宋" w:hAnsi="仿宋" w:eastAsia="仿宋"/>
          <w:b/>
          <w:sz w:val="32"/>
          <w:szCs w:val="32"/>
        </w:rPr>
      </w:pPr>
    </w:p>
    <w:p>
      <w:pPr>
        <w:ind w:firstLine="642" w:firstLineChars="200"/>
        <w:rPr>
          <w:rFonts w:ascii="仿宋" w:hAnsi="仿宋" w:eastAsia="仿宋"/>
          <w:b/>
          <w:sz w:val="32"/>
          <w:szCs w:val="32"/>
        </w:rPr>
      </w:pPr>
    </w:p>
    <w:p>
      <w:pPr>
        <w:ind w:firstLine="642" w:firstLineChars="200"/>
        <w:rPr>
          <w:rFonts w:ascii="仿宋" w:hAnsi="仿宋" w:eastAsia="仿宋"/>
          <w:b/>
          <w:sz w:val="32"/>
          <w:szCs w:val="32"/>
        </w:rPr>
      </w:pPr>
    </w:p>
    <w:p>
      <w:pPr>
        <w:ind w:firstLine="642" w:firstLineChars="200"/>
        <w:rPr>
          <w:rFonts w:ascii="仿宋" w:hAnsi="仿宋" w:eastAsia="仿宋"/>
          <w:b/>
          <w:sz w:val="32"/>
          <w:szCs w:val="32"/>
        </w:rPr>
      </w:pPr>
    </w:p>
    <w:p>
      <w:pPr>
        <w:ind w:firstLine="642" w:firstLineChars="200"/>
        <w:rPr>
          <w:rFonts w:ascii="仿宋" w:hAnsi="仿宋" w:eastAsia="仿宋"/>
          <w:b/>
          <w:sz w:val="32"/>
          <w:szCs w:val="32"/>
        </w:rPr>
      </w:pPr>
    </w:p>
    <w:p>
      <w:pPr>
        <w:ind w:firstLine="642" w:firstLineChars="200"/>
        <w:rPr>
          <w:rFonts w:ascii="仿宋" w:hAnsi="仿宋" w:eastAsia="仿宋"/>
          <w:b/>
          <w:sz w:val="32"/>
          <w:szCs w:val="32"/>
        </w:rPr>
      </w:pPr>
    </w:p>
    <w:p>
      <w:pPr>
        <w:ind w:firstLine="642" w:firstLineChars="200"/>
        <w:rPr>
          <w:rFonts w:ascii="仿宋" w:hAnsi="仿宋" w:eastAsia="仿宋"/>
          <w:b/>
          <w:sz w:val="32"/>
          <w:szCs w:val="32"/>
        </w:rPr>
      </w:pPr>
    </w:p>
    <w:p>
      <w:pPr>
        <w:ind w:firstLine="642" w:firstLineChars="200"/>
        <w:jc w:val="center"/>
        <w:rPr>
          <w:rFonts w:ascii="仿宋" w:hAnsi="仿宋" w:eastAsia="仿宋"/>
          <w:b/>
          <w:sz w:val="32"/>
          <w:szCs w:val="32"/>
        </w:rPr>
      </w:pPr>
    </w:p>
    <w:p>
      <w:pPr>
        <w:ind w:firstLine="642" w:firstLineChars="200"/>
        <w:jc w:val="center"/>
        <w:rPr>
          <w:rFonts w:ascii="宋体"/>
          <w:b/>
          <w:sz w:val="32"/>
          <w:szCs w:val="32"/>
        </w:rPr>
      </w:pPr>
    </w:p>
    <w:p>
      <w:pPr>
        <w:ind w:firstLine="642" w:firstLineChars="200"/>
        <w:jc w:val="center"/>
        <w:rPr>
          <w:rFonts w:ascii="宋体"/>
          <w:b/>
          <w:sz w:val="32"/>
          <w:szCs w:val="32"/>
        </w:rPr>
      </w:pPr>
    </w:p>
    <w:p>
      <w:pPr>
        <w:ind w:firstLine="642" w:firstLineChars="200"/>
        <w:jc w:val="center"/>
        <w:rPr>
          <w:rFonts w:ascii="宋体"/>
          <w:b/>
          <w:sz w:val="32"/>
          <w:szCs w:val="32"/>
        </w:rPr>
      </w:pPr>
    </w:p>
    <w:p>
      <w:pPr>
        <w:spacing w:line="360" w:lineRule="auto"/>
        <w:jc w:val="center"/>
        <w:rPr>
          <w:rFonts w:ascii="宋体" w:hAnsi="宋体"/>
          <w:b/>
          <w:kern w:val="22"/>
          <w:sz w:val="10"/>
          <w:szCs w:val="10"/>
        </w:rPr>
      </w:pPr>
      <w:r>
        <w:rPr>
          <w:rFonts w:hint="eastAsia" w:ascii="宋体" w:hAnsi="宋体"/>
          <w:b/>
          <w:kern w:val="22"/>
          <w:sz w:val="32"/>
          <w:szCs w:val="32"/>
        </w:rPr>
        <w:t>编制单位：山西农业大学、山西省园艺产业发展中心</w:t>
      </w:r>
    </w:p>
    <w:p>
      <w:pPr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 xml:space="preserve"> 二〇二四年</w:t>
      </w:r>
      <w:r>
        <w:rPr>
          <w:rFonts w:hint="eastAsia" w:ascii="宋体" w:hAnsi="宋体"/>
          <w:b/>
          <w:sz w:val="32"/>
          <w:szCs w:val="32"/>
          <w:lang w:eastAsia="zh-CN"/>
        </w:rPr>
        <w:t>三</w:t>
      </w:r>
      <w:r>
        <w:rPr>
          <w:rFonts w:hint="eastAsia" w:ascii="宋体" w:hAnsi="宋体"/>
          <w:b/>
          <w:sz w:val="32"/>
          <w:szCs w:val="32"/>
        </w:rPr>
        <w:t>月</w:t>
      </w:r>
    </w:p>
    <w:p>
      <w:pPr>
        <w:jc w:val="center"/>
        <w:rPr>
          <w:rFonts w:ascii="宋体" w:hAnsi="宋体"/>
          <w:b/>
          <w:sz w:val="32"/>
          <w:szCs w:val="32"/>
        </w:rPr>
      </w:pPr>
    </w:p>
    <w:p>
      <w:pPr>
        <w:jc w:val="center"/>
        <w:rPr>
          <w:rFonts w:ascii="宋体" w:hAnsi="宋体"/>
          <w:b/>
          <w:sz w:val="32"/>
          <w:szCs w:val="32"/>
        </w:rPr>
      </w:pPr>
    </w:p>
    <w:p>
      <w:pPr>
        <w:jc w:val="center"/>
        <w:rPr>
          <w:rFonts w:ascii="宋体" w:hAnsi="宋体"/>
          <w:b/>
          <w:sz w:val="32"/>
          <w:szCs w:val="32"/>
        </w:rPr>
      </w:pPr>
    </w:p>
    <w:p>
      <w:pPr>
        <w:spacing w:line="520" w:lineRule="exact"/>
        <w:jc w:val="center"/>
        <w:rPr>
          <w:rFonts w:asci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山西省地方标准</w:t>
      </w:r>
    </w:p>
    <w:p>
      <w:pPr>
        <w:spacing w:line="520" w:lineRule="exact"/>
        <w:jc w:val="center"/>
        <w:rPr>
          <w:rFonts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《大白菜制种技术规程》</w:t>
      </w:r>
    </w:p>
    <w:p>
      <w:pPr>
        <w:spacing w:line="520" w:lineRule="exact"/>
        <w:jc w:val="center"/>
        <w:rPr>
          <w:rFonts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编制说明</w:t>
      </w:r>
    </w:p>
    <w:p>
      <w:pPr>
        <w:spacing w:line="520" w:lineRule="exact"/>
        <w:jc w:val="center"/>
        <w:rPr>
          <w:rFonts w:ascii="宋体" w:hAnsi="宋体"/>
          <w:b/>
          <w:sz w:val="30"/>
          <w:szCs w:val="30"/>
        </w:rPr>
      </w:pPr>
    </w:p>
    <w:p>
      <w:pPr>
        <w:spacing w:line="360" w:lineRule="auto"/>
        <w:ind w:firstLine="480" w:firstLineChars="200"/>
        <w:outlineLvl w:val="0"/>
        <w:rPr>
          <w:rFonts w:ascii="黑体" w:eastAsia="黑体"/>
          <w:sz w:val="24"/>
        </w:rPr>
      </w:pPr>
      <w:r>
        <w:rPr>
          <w:rFonts w:hint="eastAsia" w:ascii="黑体" w:eastAsia="黑体"/>
          <w:sz w:val="24"/>
        </w:rPr>
        <w:t>一、工作简况</w:t>
      </w:r>
    </w:p>
    <w:p>
      <w:pPr>
        <w:spacing w:line="360" w:lineRule="auto"/>
        <w:ind w:left="465"/>
        <w:outlineLvl w:val="1"/>
        <w:rPr>
          <w:rFonts w:ascii="楷体_GB2312" w:eastAsia="楷体_GB2312"/>
          <w:sz w:val="24"/>
        </w:rPr>
      </w:pPr>
      <w:r>
        <w:rPr>
          <w:rFonts w:hint="eastAsia" w:ascii="楷体_GB2312" w:eastAsia="楷体_GB2312"/>
          <w:sz w:val="24"/>
        </w:rPr>
        <w:t>1任务来源</w:t>
      </w:r>
    </w:p>
    <w:p>
      <w:pPr>
        <w:spacing w:line="360" w:lineRule="auto"/>
        <w:ind w:firstLine="480" w:firstLineChars="200"/>
        <w:jc w:val="left"/>
        <w:outlineLvl w:val="1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按照山西省市场监督管理局关于2022年度省级地方标准复审结论公告（山西省地方标准公告2022年第20号），《大白菜制种技术规程》DB14/T 1626-2018被列入山西省地方标准修订计划，本标准由山西省农业标准化技术委员会（SXS/TC19）归口。</w:t>
      </w:r>
    </w:p>
    <w:p>
      <w:pPr>
        <w:spacing w:line="360" w:lineRule="auto"/>
        <w:ind w:left="465"/>
        <w:outlineLvl w:val="1"/>
        <w:rPr>
          <w:rFonts w:ascii="楷体_GB2312" w:eastAsia="楷体_GB2312"/>
          <w:sz w:val="24"/>
        </w:rPr>
      </w:pPr>
      <w:r>
        <w:rPr>
          <w:rFonts w:hint="eastAsia" w:ascii="楷体_GB2312" w:eastAsia="楷体_GB2312"/>
          <w:sz w:val="24"/>
        </w:rPr>
        <w:t>2 起草</w:t>
      </w:r>
      <w:r>
        <w:rPr>
          <w:rFonts w:ascii="楷体_GB2312" w:eastAsia="楷体_GB2312"/>
          <w:sz w:val="24"/>
        </w:rPr>
        <w:t>单位和主要起草人</w:t>
      </w:r>
    </w:p>
    <w:p>
      <w:pPr>
        <w:spacing w:line="360" w:lineRule="auto"/>
        <w:ind w:firstLine="480" w:firstLineChars="200"/>
        <w:jc w:val="left"/>
        <w:outlineLvl w:val="1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起草任务由</w:t>
      </w:r>
      <w:r>
        <w:rPr>
          <w:rFonts w:hint="eastAsia" w:ascii="仿宋_GB2312" w:hAnsi="宋体" w:eastAsia="仿宋_GB2312"/>
          <w:sz w:val="24"/>
        </w:rPr>
        <w:t>山西农业大学、山西省园艺产业发展中心承担</w:t>
      </w:r>
      <w:r>
        <w:rPr>
          <w:rFonts w:ascii="仿宋_GB2312" w:hAnsi="宋体" w:eastAsia="仿宋_GB2312"/>
          <w:sz w:val="24"/>
        </w:rPr>
        <w:t>。</w:t>
      </w:r>
    </w:p>
    <w:p>
      <w:pPr>
        <w:spacing w:line="360" w:lineRule="auto"/>
        <w:ind w:firstLine="480" w:firstLineChars="200"/>
        <w:jc w:val="center"/>
        <w:outlineLvl w:val="1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主要起草人信息</w:t>
      </w:r>
    </w:p>
    <w:tbl>
      <w:tblPr>
        <w:tblStyle w:val="13"/>
        <w:tblW w:w="86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993"/>
        <w:gridCol w:w="1701"/>
        <w:gridCol w:w="3472"/>
        <w:gridCol w:w="12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spacing w:line="360" w:lineRule="auto"/>
              <w:jc w:val="center"/>
              <w:rPr>
                <w:rFonts w:ascii="仿宋_GB2312" w:hAnsi="仿宋" w:eastAsia="仿宋_GB2312" w:cs="Courier New"/>
                <w:sz w:val="24"/>
              </w:rPr>
            </w:pPr>
            <w:r>
              <w:rPr>
                <w:rFonts w:hint="eastAsia" w:ascii="仿宋_GB2312" w:hAnsi="仿宋" w:eastAsia="仿宋_GB2312" w:cs="Courier New"/>
                <w:sz w:val="24"/>
              </w:rPr>
              <w:t>姓名</w:t>
            </w:r>
          </w:p>
        </w:tc>
        <w:tc>
          <w:tcPr>
            <w:tcW w:w="993" w:type="dxa"/>
          </w:tcPr>
          <w:p>
            <w:pPr>
              <w:spacing w:line="360" w:lineRule="auto"/>
              <w:jc w:val="center"/>
              <w:rPr>
                <w:rFonts w:ascii="仿宋_GB2312" w:hAnsi="仿宋" w:eastAsia="仿宋_GB2312" w:cs="Courier New"/>
                <w:sz w:val="24"/>
              </w:rPr>
            </w:pPr>
            <w:r>
              <w:rPr>
                <w:rFonts w:hint="eastAsia" w:ascii="仿宋_GB2312" w:hAnsi="仿宋" w:eastAsia="仿宋_GB2312" w:cs="Courier New"/>
                <w:sz w:val="24"/>
              </w:rPr>
              <w:t>性别</w:t>
            </w:r>
          </w:p>
        </w:tc>
        <w:tc>
          <w:tcPr>
            <w:tcW w:w="1701" w:type="dxa"/>
          </w:tcPr>
          <w:p>
            <w:pPr>
              <w:spacing w:line="360" w:lineRule="auto"/>
              <w:jc w:val="center"/>
              <w:rPr>
                <w:rFonts w:ascii="仿宋_GB2312" w:hAnsi="仿宋" w:eastAsia="仿宋_GB2312" w:cs="Courier New"/>
                <w:sz w:val="24"/>
              </w:rPr>
            </w:pPr>
            <w:r>
              <w:rPr>
                <w:rFonts w:hint="eastAsia" w:ascii="仿宋_GB2312" w:hAnsi="仿宋" w:eastAsia="仿宋_GB2312" w:cs="Courier New"/>
                <w:sz w:val="24"/>
              </w:rPr>
              <w:t>职务/职称</w:t>
            </w:r>
          </w:p>
        </w:tc>
        <w:tc>
          <w:tcPr>
            <w:tcW w:w="3472" w:type="dxa"/>
          </w:tcPr>
          <w:p>
            <w:pPr>
              <w:spacing w:line="360" w:lineRule="auto"/>
              <w:jc w:val="center"/>
              <w:rPr>
                <w:rFonts w:ascii="仿宋_GB2312" w:hAnsi="仿宋" w:eastAsia="仿宋_GB2312" w:cs="Courier New"/>
                <w:sz w:val="24"/>
              </w:rPr>
            </w:pPr>
            <w:r>
              <w:rPr>
                <w:rFonts w:hint="eastAsia" w:ascii="仿宋_GB2312" w:hAnsi="仿宋" w:eastAsia="仿宋_GB2312" w:cs="Courier New"/>
                <w:sz w:val="24"/>
              </w:rPr>
              <w:t>工作单位</w:t>
            </w:r>
          </w:p>
        </w:tc>
        <w:tc>
          <w:tcPr>
            <w:tcW w:w="1263" w:type="dxa"/>
          </w:tcPr>
          <w:p>
            <w:pPr>
              <w:spacing w:line="360" w:lineRule="auto"/>
              <w:jc w:val="center"/>
              <w:rPr>
                <w:rFonts w:ascii="仿宋_GB2312" w:hAnsi="仿宋" w:eastAsia="仿宋_GB2312" w:cs="Courier New"/>
                <w:sz w:val="24"/>
              </w:rPr>
            </w:pPr>
            <w:r>
              <w:rPr>
                <w:rFonts w:hint="eastAsia" w:ascii="仿宋_GB2312" w:hAnsi="仿宋" w:eastAsia="仿宋_GB2312" w:cs="Courier New"/>
                <w:sz w:val="24"/>
              </w:rPr>
              <w:t>任务分工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" w:eastAsia="仿宋_GB2312" w:cs="Courier New"/>
                <w:sz w:val="24"/>
              </w:rPr>
            </w:pPr>
            <w:r>
              <w:rPr>
                <w:rFonts w:hint="eastAsia" w:ascii="仿宋_GB2312" w:hAnsi="仿宋" w:eastAsia="仿宋_GB2312" w:cs="Courier New"/>
                <w:sz w:val="24"/>
              </w:rPr>
              <w:t>齐仙惠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" w:eastAsia="仿宋_GB2312" w:cs="Courier New"/>
                <w:sz w:val="24"/>
              </w:rPr>
            </w:pPr>
            <w:r>
              <w:rPr>
                <w:rFonts w:hint="eastAsia" w:ascii="仿宋_GB2312" w:hAnsi="仿宋" w:eastAsia="仿宋_GB2312" w:cs="Courier New"/>
                <w:sz w:val="24"/>
              </w:rPr>
              <w:t>女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" w:eastAsia="仿宋_GB2312" w:cs="Courier New"/>
                <w:sz w:val="24"/>
              </w:rPr>
            </w:pPr>
            <w:r>
              <w:rPr>
                <w:rFonts w:hint="eastAsia" w:ascii="仿宋_GB2312" w:hAnsi="仿宋" w:eastAsia="仿宋_GB2312" w:cs="Courier New"/>
                <w:sz w:val="24"/>
              </w:rPr>
              <w:t>副研究员</w:t>
            </w:r>
          </w:p>
        </w:tc>
        <w:tc>
          <w:tcPr>
            <w:tcW w:w="347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" w:eastAsia="仿宋_GB2312" w:cs="Courier New"/>
                <w:sz w:val="24"/>
              </w:rPr>
            </w:pPr>
            <w:r>
              <w:rPr>
                <w:rFonts w:hint="eastAsia" w:ascii="仿宋_GB2312" w:hAnsi="仿宋" w:eastAsia="仿宋_GB2312" w:cs="Courier New"/>
                <w:sz w:val="24"/>
              </w:rPr>
              <w:t>山西农业大学</w:t>
            </w:r>
          </w:p>
        </w:tc>
        <w:tc>
          <w:tcPr>
            <w:tcW w:w="1263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" w:eastAsia="仿宋_GB2312" w:cs="Courier New"/>
                <w:sz w:val="24"/>
              </w:rPr>
            </w:pPr>
            <w:r>
              <w:rPr>
                <w:rFonts w:hint="eastAsia" w:ascii="仿宋_GB2312" w:hAnsi="仿宋" w:eastAsia="仿宋_GB2312" w:cs="Courier New"/>
                <w:sz w:val="24"/>
              </w:rPr>
              <w:t>全文修订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" w:eastAsia="仿宋_GB2312" w:cs="Courier New"/>
                <w:sz w:val="24"/>
              </w:rPr>
            </w:pPr>
            <w:r>
              <w:rPr>
                <w:rFonts w:hint="eastAsia" w:ascii="仿宋_GB2312" w:hAnsi="仿宋" w:eastAsia="仿宋_GB2312" w:cs="Courier New"/>
                <w:sz w:val="24"/>
              </w:rPr>
              <w:t>李改珍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" w:eastAsia="仿宋_GB2312" w:cs="Courier New"/>
                <w:sz w:val="24"/>
              </w:rPr>
            </w:pPr>
            <w:r>
              <w:rPr>
                <w:rFonts w:hint="eastAsia" w:ascii="仿宋_GB2312" w:hAnsi="仿宋" w:eastAsia="仿宋_GB2312" w:cs="Courier New"/>
                <w:sz w:val="24"/>
              </w:rPr>
              <w:t>女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" w:eastAsia="仿宋_GB2312" w:cs="Courier New"/>
                <w:sz w:val="24"/>
              </w:rPr>
            </w:pPr>
            <w:r>
              <w:rPr>
                <w:rFonts w:hint="eastAsia" w:ascii="仿宋_GB2312" w:hAnsi="仿宋" w:eastAsia="仿宋_GB2312" w:cs="Courier New"/>
                <w:sz w:val="24"/>
              </w:rPr>
              <w:t>研究员</w:t>
            </w:r>
          </w:p>
        </w:tc>
        <w:tc>
          <w:tcPr>
            <w:tcW w:w="347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" w:eastAsia="仿宋_GB2312" w:cs="Courier New"/>
                <w:sz w:val="24"/>
              </w:rPr>
            </w:pPr>
            <w:r>
              <w:rPr>
                <w:rFonts w:hint="eastAsia" w:ascii="仿宋_GB2312" w:hAnsi="仿宋" w:eastAsia="仿宋_GB2312" w:cs="Courier New"/>
                <w:sz w:val="24"/>
              </w:rPr>
              <w:t>山西农业大学</w:t>
            </w:r>
          </w:p>
        </w:tc>
        <w:tc>
          <w:tcPr>
            <w:tcW w:w="1263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" w:eastAsia="仿宋_GB2312" w:cs="Courier New"/>
                <w:sz w:val="24"/>
              </w:rPr>
            </w:pPr>
            <w:r>
              <w:rPr>
                <w:rFonts w:hint="eastAsia" w:ascii="仿宋_GB2312" w:hAnsi="仿宋" w:eastAsia="仿宋_GB2312" w:cs="Courier New"/>
                <w:sz w:val="24"/>
              </w:rPr>
              <w:t>技术指导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24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" w:eastAsia="仿宋_GB2312" w:cs="Courier New"/>
                <w:sz w:val="24"/>
              </w:rPr>
            </w:pPr>
            <w:r>
              <w:rPr>
                <w:rFonts w:hint="eastAsia" w:ascii="仿宋_GB2312" w:hAnsi="仿宋" w:eastAsia="仿宋_GB2312" w:cs="Courier New"/>
                <w:sz w:val="24"/>
                <w:lang w:val="en-US" w:eastAsia="zh-CN"/>
              </w:rPr>
              <w:t>张晓鹏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" w:eastAsia="仿宋_GB2312" w:cs="Courier New"/>
                <w:sz w:val="24"/>
              </w:rPr>
            </w:pPr>
            <w:r>
              <w:rPr>
                <w:rFonts w:hint="eastAsia" w:ascii="仿宋_GB2312" w:hAnsi="仿宋" w:eastAsia="仿宋_GB2312" w:cs="Courier New"/>
                <w:sz w:val="24"/>
                <w:lang w:eastAsia="zh-CN"/>
              </w:rPr>
              <w:t>男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" w:eastAsia="仿宋_GB2312" w:cs="Courier New"/>
                <w:sz w:val="24"/>
              </w:rPr>
            </w:pPr>
            <w:r>
              <w:rPr>
                <w:rFonts w:hint="eastAsia" w:ascii="仿宋_GB2312" w:hAnsi="仿宋" w:eastAsia="仿宋_GB2312" w:cs="Courier New"/>
                <w:sz w:val="24"/>
                <w:lang w:eastAsia="zh-CN"/>
              </w:rPr>
              <w:t>高级农艺师</w:t>
            </w:r>
          </w:p>
        </w:tc>
        <w:tc>
          <w:tcPr>
            <w:tcW w:w="347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" w:eastAsia="仿宋_GB2312" w:cs="Courier New"/>
                <w:sz w:val="24"/>
              </w:rPr>
            </w:pPr>
            <w:r>
              <w:rPr>
                <w:rFonts w:hint="eastAsia" w:ascii="仿宋_GB2312" w:hAnsi="仿宋" w:eastAsia="仿宋_GB2312" w:cs="Courier New"/>
                <w:sz w:val="24"/>
                <w:lang w:eastAsia="zh-CN"/>
              </w:rPr>
              <w:t>山西省三农政策研究中心</w:t>
            </w:r>
          </w:p>
        </w:tc>
        <w:tc>
          <w:tcPr>
            <w:tcW w:w="12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" w:eastAsia="仿宋_GB2312" w:cs="Courier New"/>
                <w:sz w:val="24"/>
              </w:rPr>
            </w:pPr>
            <w:r>
              <w:rPr>
                <w:rFonts w:hint="eastAsia" w:ascii="仿宋_GB2312" w:hAnsi="仿宋" w:eastAsia="仿宋_GB2312" w:cs="Courier New"/>
                <w:sz w:val="24"/>
                <w:lang w:eastAsia="zh-CN"/>
              </w:rPr>
              <w:t>技术指导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" w:eastAsia="仿宋_GB2312" w:cs="Courier New"/>
                <w:sz w:val="24"/>
              </w:rPr>
            </w:pPr>
            <w:r>
              <w:rPr>
                <w:rFonts w:hint="eastAsia" w:ascii="仿宋_GB2312" w:hAnsi="仿宋" w:eastAsia="仿宋_GB2312" w:cs="Courier New"/>
                <w:sz w:val="24"/>
              </w:rPr>
              <w:t>王小</w:t>
            </w:r>
            <w:bookmarkStart w:id="0" w:name="_GoBack"/>
            <w:bookmarkEnd w:id="0"/>
            <w:r>
              <w:rPr>
                <w:rFonts w:hint="eastAsia" w:ascii="仿宋_GB2312" w:hAnsi="仿宋" w:eastAsia="仿宋_GB2312" w:cs="Courier New"/>
                <w:sz w:val="24"/>
              </w:rPr>
              <w:t>军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" w:eastAsia="仿宋_GB2312" w:cs="Courier New"/>
                <w:sz w:val="24"/>
              </w:rPr>
            </w:pPr>
            <w:r>
              <w:rPr>
                <w:rFonts w:hint="eastAsia" w:ascii="仿宋_GB2312" w:hAnsi="仿宋" w:eastAsia="仿宋_GB2312" w:cs="Courier New"/>
                <w:sz w:val="24"/>
              </w:rPr>
              <w:t>男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" w:eastAsia="仿宋_GB2312" w:cs="Courier New"/>
                <w:sz w:val="24"/>
              </w:rPr>
            </w:pPr>
            <w:r>
              <w:rPr>
                <w:rFonts w:hint="eastAsia" w:ascii="仿宋_GB2312" w:hAnsi="仿宋" w:eastAsia="仿宋_GB2312" w:cs="Courier New"/>
                <w:sz w:val="24"/>
              </w:rPr>
              <w:t>农艺师</w:t>
            </w:r>
          </w:p>
        </w:tc>
        <w:tc>
          <w:tcPr>
            <w:tcW w:w="347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" w:eastAsia="仿宋_GB2312" w:cs="Courier New"/>
                <w:sz w:val="24"/>
              </w:rPr>
            </w:pPr>
            <w:r>
              <w:rPr>
                <w:rFonts w:hint="eastAsia" w:ascii="仿宋_GB2312" w:hAnsi="仿宋" w:eastAsia="仿宋_GB2312" w:cs="Courier New"/>
                <w:sz w:val="24"/>
              </w:rPr>
              <w:t>山西省园艺产业发展中心</w:t>
            </w:r>
          </w:p>
        </w:tc>
        <w:tc>
          <w:tcPr>
            <w:tcW w:w="1263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" w:eastAsia="仿宋_GB2312" w:cs="Courier New"/>
                <w:sz w:val="24"/>
              </w:rPr>
            </w:pPr>
            <w:r>
              <w:rPr>
                <w:rFonts w:hint="eastAsia" w:ascii="仿宋_GB2312" w:hAnsi="仿宋" w:eastAsia="仿宋_GB2312" w:cs="Courier New"/>
                <w:sz w:val="24"/>
              </w:rPr>
              <w:t>机械使用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" w:eastAsia="仿宋_GB2312" w:cs="Courier New"/>
                <w:sz w:val="24"/>
              </w:rPr>
            </w:pPr>
            <w:r>
              <w:rPr>
                <w:rFonts w:hint="eastAsia" w:ascii="仿宋_GB2312" w:hAnsi="仿宋" w:eastAsia="仿宋_GB2312" w:cs="Courier New"/>
                <w:sz w:val="24"/>
              </w:rPr>
              <w:t>李思蓓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" w:eastAsia="仿宋_GB2312" w:cs="Courier New"/>
                <w:sz w:val="24"/>
              </w:rPr>
            </w:pPr>
            <w:r>
              <w:rPr>
                <w:rFonts w:hint="eastAsia" w:ascii="仿宋_GB2312" w:hAnsi="仿宋" w:eastAsia="仿宋_GB2312" w:cs="Courier New"/>
                <w:sz w:val="24"/>
              </w:rPr>
              <w:t>女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" w:eastAsia="仿宋_GB2312" w:cs="Courier New"/>
                <w:sz w:val="24"/>
              </w:rPr>
            </w:pPr>
            <w:r>
              <w:rPr>
                <w:rFonts w:hint="eastAsia" w:ascii="仿宋_GB2312" w:hAnsi="仿宋" w:eastAsia="仿宋_GB2312" w:cs="Courier New"/>
                <w:sz w:val="24"/>
              </w:rPr>
              <w:t>助理研究员</w:t>
            </w:r>
          </w:p>
        </w:tc>
        <w:tc>
          <w:tcPr>
            <w:tcW w:w="347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" w:eastAsia="仿宋_GB2312" w:cs="Courier New"/>
                <w:sz w:val="24"/>
              </w:rPr>
            </w:pPr>
            <w:r>
              <w:rPr>
                <w:rFonts w:hint="eastAsia" w:ascii="仿宋_GB2312" w:hAnsi="仿宋" w:eastAsia="仿宋_GB2312" w:cs="Courier New"/>
                <w:sz w:val="24"/>
              </w:rPr>
              <w:t>山西农业大学</w:t>
            </w:r>
          </w:p>
        </w:tc>
        <w:tc>
          <w:tcPr>
            <w:tcW w:w="1263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" w:eastAsia="仿宋_GB2312" w:cs="Courier New"/>
                <w:sz w:val="24"/>
              </w:rPr>
            </w:pPr>
            <w:r>
              <w:rPr>
                <w:rFonts w:hint="eastAsia" w:ascii="仿宋_GB2312" w:hAnsi="仿宋" w:eastAsia="仿宋_GB2312" w:cs="Courier New"/>
                <w:sz w:val="24"/>
              </w:rPr>
              <w:t>育苗技术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" w:eastAsia="仿宋_GB2312" w:cs="Courier New"/>
                <w:sz w:val="24"/>
              </w:rPr>
            </w:pPr>
            <w:r>
              <w:rPr>
                <w:rFonts w:hint="eastAsia" w:ascii="仿宋_GB2312" w:hAnsi="仿宋" w:eastAsia="仿宋_GB2312" w:cs="Courier New"/>
                <w:sz w:val="24"/>
              </w:rPr>
              <w:t>吕甜甜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" w:eastAsia="仿宋_GB2312" w:cs="Courier New"/>
                <w:sz w:val="24"/>
              </w:rPr>
            </w:pPr>
            <w:r>
              <w:rPr>
                <w:rFonts w:hint="eastAsia" w:ascii="仿宋_GB2312" w:hAnsi="仿宋" w:eastAsia="仿宋_GB2312" w:cs="Courier New"/>
                <w:sz w:val="24"/>
              </w:rPr>
              <w:t>女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" w:eastAsia="仿宋_GB2312" w:cs="Courier New"/>
                <w:sz w:val="24"/>
              </w:rPr>
            </w:pPr>
            <w:r>
              <w:rPr>
                <w:rFonts w:hint="eastAsia" w:ascii="仿宋_GB2312" w:hAnsi="仿宋" w:eastAsia="仿宋_GB2312" w:cs="Courier New"/>
                <w:sz w:val="24"/>
              </w:rPr>
              <w:t>助理研究员</w:t>
            </w:r>
          </w:p>
        </w:tc>
        <w:tc>
          <w:tcPr>
            <w:tcW w:w="347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" w:eastAsia="仿宋_GB2312" w:cs="Courier New"/>
                <w:sz w:val="24"/>
              </w:rPr>
            </w:pPr>
            <w:r>
              <w:rPr>
                <w:rFonts w:hint="eastAsia" w:ascii="仿宋_GB2312" w:hAnsi="仿宋" w:eastAsia="仿宋_GB2312" w:cs="Courier New"/>
                <w:sz w:val="24"/>
              </w:rPr>
              <w:t>山西农业大学</w:t>
            </w:r>
          </w:p>
        </w:tc>
        <w:tc>
          <w:tcPr>
            <w:tcW w:w="1263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" w:eastAsia="仿宋_GB2312" w:cs="Courier New"/>
                <w:sz w:val="24"/>
              </w:rPr>
            </w:pPr>
            <w:r>
              <w:rPr>
                <w:rFonts w:hint="eastAsia" w:ascii="仿宋_GB2312" w:hAnsi="仿宋" w:eastAsia="仿宋_GB2312" w:cs="Courier New"/>
                <w:sz w:val="24"/>
              </w:rPr>
              <w:t>田间管理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" w:eastAsia="仿宋_GB2312" w:cs="Courier New"/>
                <w:sz w:val="24"/>
              </w:rPr>
            </w:pPr>
            <w:r>
              <w:rPr>
                <w:rFonts w:hint="eastAsia" w:ascii="仿宋_GB2312" w:hAnsi="仿宋" w:eastAsia="仿宋_GB2312" w:cs="Courier New"/>
                <w:sz w:val="24"/>
              </w:rPr>
              <w:t>王秀英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" w:eastAsia="仿宋_GB2312" w:cs="Courier New"/>
                <w:sz w:val="24"/>
              </w:rPr>
            </w:pPr>
            <w:r>
              <w:rPr>
                <w:rFonts w:hint="eastAsia" w:ascii="仿宋_GB2312" w:hAnsi="仿宋" w:eastAsia="仿宋_GB2312" w:cs="Courier New"/>
                <w:sz w:val="24"/>
              </w:rPr>
              <w:t>女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" w:eastAsia="仿宋_GB2312" w:cs="Courier New"/>
                <w:sz w:val="24"/>
              </w:rPr>
            </w:pPr>
            <w:r>
              <w:rPr>
                <w:rFonts w:hint="eastAsia" w:ascii="仿宋_GB2312" w:hAnsi="仿宋" w:eastAsia="仿宋_GB2312" w:cs="Courier New"/>
                <w:sz w:val="24"/>
              </w:rPr>
              <w:t>研究员</w:t>
            </w:r>
          </w:p>
        </w:tc>
        <w:tc>
          <w:tcPr>
            <w:tcW w:w="347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" w:eastAsia="仿宋_GB2312" w:cs="Courier New"/>
                <w:sz w:val="24"/>
              </w:rPr>
            </w:pPr>
            <w:r>
              <w:rPr>
                <w:rFonts w:hint="eastAsia" w:ascii="仿宋_GB2312" w:hAnsi="仿宋" w:eastAsia="仿宋_GB2312" w:cs="Courier New"/>
                <w:sz w:val="24"/>
              </w:rPr>
              <w:t>山西农业大学</w:t>
            </w:r>
          </w:p>
        </w:tc>
        <w:tc>
          <w:tcPr>
            <w:tcW w:w="1263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" w:eastAsia="仿宋_GB2312" w:cs="Courier New"/>
                <w:sz w:val="24"/>
              </w:rPr>
            </w:pPr>
            <w:r>
              <w:rPr>
                <w:rFonts w:hint="eastAsia" w:ascii="仿宋_GB2312" w:hAnsi="仿宋" w:eastAsia="仿宋_GB2312" w:cs="Courier New"/>
                <w:sz w:val="24"/>
              </w:rPr>
              <w:t>文件编校</w:t>
            </w:r>
          </w:p>
        </w:tc>
      </w:tr>
    </w:tbl>
    <w:p>
      <w:pPr>
        <w:spacing w:line="360" w:lineRule="auto"/>
        <w:ind w:firstLine="480" w:firstLineChars="200"/>
        <w:outlineLvl w:val="0"/>
        <w:rPr>
          <w:rFonts w:ascii="楷体" w:hAnsi="楷体" w:eastAsia="楷体" w:cs="Courier New"/>
          <w:sz w:val="28"/>
          <w:szCs w:val="28"/>
        </w:rPr>
      </w:pPr>
      <w:r>
        <w:rPr>
          <w:rFonts w:ascii="黑体" w:eastAsia="黑体"/>
          <w:sz w:val="24"/>
        </w:rPr>
        <w:t>二、</w:t>
      </w:r>
      <w:r>
        <w:rPr>
          <w:rFonts w:hint="eastAsia" w:ascii="黑体" w:eastAsia="黑体"/>
          <w:sz w:val="24"/>
        </w:rPr>
        <w:t>修</w:t>
      </w:r>
      <w:r>
        <w:rPr>
          <w:rFonts w:ascii="黑体" w:eastAsia="黑体"/>
          <w:sz w:val="24"/>
        </w:rPr>
        <w:t>订标准的必要性和意义</w:t>
      </w:r>
    </w:p>
    <w:p>
      <w:pPr>
        <w:spacing w:line="360" w:lineRule="auto"/>
        <w:ind w:firstLine="480" w:firstLineChars="200"/>
        <w:jc w:val="left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粮安天下，种铸基石，种业是农业的“芯片”，是保障国家经济安全、生态安全、社会安全的重要资源。大白菜是我省重要的蔬菜作物，种植规模、居民消费、外调运输都位于前列，我省的大白菜新品种选育、良种繁育科研水平均处于国内领先。全国大白菜年制种面积约1333 hm</w:t>
      </w:r>
      <w:r>
        <w:rPr>
          <w:rFonts w:hint="eastAsia" w:ascii="仿宋_GB2312" w:hAnsi="宋体" w:eastAsia="仿宋_GB2312"/>
          <w:sz w:val="24"/>
          <w:vertAlign w:val="superscript"/>
        </w:rPr>
        <w:t>2</w:t>
      </w:r>
      <w:r>
        <w:rPr>
          <w:rFonts w:hint="eastAsia" w:ascii="仿宋_GB2312" w:hAnsi="宋体" w:eastAsia="仿宋_GB2312"/>
          <w:sz w:val="24"/>
        </w:rPr>
        <w:t>，年生产商品种约2500 t，其中河南、山西、山东、甘肃4个省的制种量占比达90%以上，可见我省在大白菜种业发展中的重要地位。随着产业的高质量发展，对大白菜种子的质量及生产技术要求越来越高，因此，需要制定大白菜制种技术规程，以实现规范化、标准化、科学化的良种生产。</w:t>
      </w:r>
    </w:p>
    <w:p>
      <w:pPr>
        <w:spacing w:line="360" w:lineRule="auto"/>
        <w:ind w:firstLine="480" w:firstLineChars="200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随着生产技术的进步，原《大白菜制种技术规程》在规范性引用文件、育苗设施、播种方式、田间管理、病虫害防治等方面存在一定滞后性。为更好的指导生产，降低农民种植风险，提升种植效益，也为我省建设标准化、规模化、集约化、机械化的良种繁育基地提供技术支撑，特提出修订本标准。</w:t>
      </w:r>
    </w:p>
    <w:p>
      <w:pPr>
        <w:spacing w:line="360" w:lineRule="auto"/>
        <w:ind w:firstLine="480" w:firstLineChars="200"/>
        <w:outlineLvl w:val="0"/>
        <w:rPr>
          <w:rFonts w:ascii="黑体" w:eastAsia="黑体"/>
          <w:sz w:val="24"/>
        </w:rPr>
      </w:pPr>
      <w:r>
        <w:rPr>
          <w:rFonts w:ascii="黑体" w:eastAsia="黑体"/>
          <w:sz w:val="24"/>
        </w:rPr>
        <w:t>三、主要</w:t>
      </w:r>
      <w:r>
        <w:rPr>
          <w:rFonts w:hint="eastAsia" w:ascii="黑体" w:eastAsia="黑体"/>
          <w:sz w:val="24"/>
        </w:rPr>
        <w:t>修订</w:t>
      </w:r>
      <w:r>
        <w:rPr>
          <w:rFonts w:ascii="黑体" w:eastAsia="黑体"/>
          <w:sz w:val="24"/>
        </w:rPr>
        <w:t>工作过程</w:t>
      </w:r>
    </w:p>
    <w:p>
      <w:pPr>
        <w:spacing w:line="360" w:lineRule="auto"/>
        <w:ind w:firstLine="480" w:firstLineChars="200"/>
        <w:rPr>
          <w:rFonts w:eastAsia="仿宋_GB2312"/>
          <w:bCs/>
          <w:sz w:val="24"/>
        </w:rPr>
      </w:pPr>
      <w:r>
        <w:rPr>
          <w:rFonts w:hint="eastAsia" w:eastAsia="仿宋_GB2312"/>
          <w:bCs/>
          <w:sz w:val="24"/>
        </w:rPr>
        <w:t>1、成立标准修订工作组</w:t>
      </w:r>
    </w:p>
    <w:p>
      <w:pPr>
        <w:spacing w:line="360" w:lineRule="auto"/>
        <w:ind w:firstLine="480" w:firstLineChars="200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2022年12月，按照山西省市场监督管理局关于2022年度省级地方标准复审结论公告的要求，成立修订工作组，对《大白菜制种技术规程》DB 14/T 1626—2018进行修订。</w:t>
      </w:r>
    </w:p>
    <w:p>
      <w:pPr>
        <w:spacing w:line="360" w:lineRule="auto"/>
        <w:ind w:firstLine="480" w:firstLineChars="200"/>
        <w:rPr>
          <w:rFonts w:eastAsia="仿宋_GB2312"/>
          <w:bCs/>
          <w:sz w:val="24"/>
        </w:rPr>
      </w:pPr>
      <w:r>
        <w:rPr>
          <w:rFonts w:hint="eastAsia" w:eastAsia="仿宋_GB2312"/>
          <w:bCs/>
          <w:sz w:val="24"/>
        </w:rPr>
        <w:t>2、调研考察</w:t>
      </w:r>
    </w:p>
    <w:p>
      <w:pPr>
        <w:spacing w:line="360" w:lineRule="auto"/>
        <w:ind w:firstLine="480" w:firstLineChars="200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2023年1月—2月，调研考察了《大白菜制种技术规程》DB 14/T 1626—2018自颁布实施以来的应用效果及存在问题，进行了详细整理和归纳，做出了修订计划和方案。</w:t>
      </w:r>
    </w:p>
    <w:p>
      <w:pPr>
        <w:spacing w:line="360" w:lineRule="auto"/>
        <w:ind w:firstLine="480" w:firstLineChars="200"/>
        <w:rPr>
          <w:rFonts w:eastAsia="仿宋_GB2312"/>
          <w:bCs/>
          <w:sz w:val="24"/>
        </w:rPr>
      </w:pPr>
      <w:r>
        <w:rPr>
          <w:rFonts w:hint="eastAsia" w:eastAsia="仿宋_GB2312"/>
          <w:bCs/>
          <w:sz w:val="24"/>
        </w:rPr>
        <w:t>3、收集资料</w:t>
      </w:r>
    </w:p>
    <w:p>
      <w:pPr>
        <w:spacing w:line="360" w:lineRule="auto"/>
        <w:ind w:firstLine="480" w:firstLineChars="200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2023年3月—5月，针对修订计划和方案，结合近年来的技术更新，工作组成员</w:t>
      </w:r>
      <w:r>
        <w:rPr>
          <w:rFonts w:ascii="仿宋_GB2312" w:hAnsi="宋体" w:eastAsia="仿宋_GB2312"/>
          <w:sz w:val="24"/>
        </w:rPr>
        <w:t>研究了国家、行业和各省相关地方标准的制定情况，</w:t>
      </w:r>
      <w:r>
        <w:rPr>
          <w:rFonts w:hint="eastAsia" w:ascii="仿宋_GB2312" w:hAnsi="宋体" w:eastAsia="仿宋_GB2312"/>
          <w:sz w:val="24"/>
        </w:rPr>
        <w:t>广泛收集、分析、归纳了相关资料。</w:t>
      </w:r>
    </w:p>
    <w:p>
      <w:pPr>
        <w:spacing w:line="360" w:lineRule="auto"/>
        <w:ind w:firstLine="480" w:firstLineChars="200"/>
        <w:rPr>
          <w:rFonts w:eastAsia="仿宋_GB2312"/>
          <w:bCs/>
          <w:sz w:val="24"/>
        </w:rPr>
      </w:pPr>
      <w:r>
        <w:rPr>
          <w:rFonts w:hint="eastAsia" w:eastAsia="仿宋_GB2312"/>
          <w:bCs/>
          <w:sz w:val="24"/>
        </w:rPr>
        <w:t>4、修订文本</w:t>
      </w:r>
    </w:p>
    <w:p>
      <w:pPr>
        <w:spacing w:line="360" w:lineRule="auto"/>
        <w:ind w:firstLine="480" w:firstLineChars="200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2023年6月—12月，项目组认真学习了《</w:t>
      </w:r>
      <w:r>
        <w:rPr>
          <w:rFonts w:ascii="仿宋_GB2312" w:hAnsi="宋体" w:eastAsia="仿宋_GB2312"/>
          <w:sz w:val="24"/>
        </w:rPr>
        <w:t>GB/T 1.1</w:t>
      </w:r>
      <w:r>
        <w:rPr>
          <w:rFonts w:hint="eastAsia" w:ascii="仿宋_GB2312" w:hAnsi="宋体" w:eastAsia="仿宋_GB2312"/>
          <w:sz w:val="24"/>
        </w:rPr>
        <w:t>-2020 标准化工作导则 第1部分：标准化文件的结构和起草规则》。根据相关要求，在2018版基础上进行了修订，除结构调整和编辑性改动外，主要技术变化有：增加了隔离要求（见4.2）；</w:t>
      </w:r>
      <w:r>
        <w:rPr>
          <w:rFonts w:ascii="仿宋_GB2312" w:hAnsi="宋体" w:eastAsia="仿宋_GB2312"/>
          <w:sz w:val="24"/>
        </w:rPr>
        <w:t>增加了机械化操作的内容</w:t>
      </w:r>
      <w:r>
        <w:rPr>
          <w:rFonts w:hint="eastAsia" w:ascii="仿宋_GB2312" w:hAnsi="宋体" w:eastAsia="仿宋_GB2312"/>
          <w:sz w:val="24"/>
        </w:rPr>
        <w:t>（见6.2、7.1、7.3）；更改了苗期温度管理的内容（见6.4.1）；更改了壮苗标准（见6.5）；更改了定植密度（见7.3）；增加了授粉方法（见8.3）；删除了用药时间（见2018版的第6章）；增加了生产档案（见10）；</w:t>
      </w:r>
      <w:r>
        <w:rPr>
          <w:rFonts w:ascii="仿宋_GB2312" w:hAnsi="宋体" w:eastAsia="仿宋_GB2312"/>
          <w:sz w:val="24"/>
        </w:rPr>
        <w:t>增加了附录</w:t>
      </w:r>
      <w:r>
        <w:rPr>
          <w:rFonts w:hint="eastAsia" w:ascii="仿宋_GB2312" w:hAnsi="宋体" w:eastAsia="仿宋_GB2312"/>
          <w:sz w:val="24"/>
        </w:rPr>
        <w:t>（见附录B）。形成新版《大白菜制种技术规程》的征求意见稿，</w:t>
      </w:r>
      <w:r>
        <w:rPr>
          <w:rFonts w:hint="eastAsia" w:eastAsia="仿宋_GB2312"/>
          <w:bCs/>
          <w:sz w:val="24"/>
        </w:rPr>
        <w:t>向山西省种业发展中心、山西省蔬菜产业技术体系、山西农业大学植物保护学院、山西科萌种业有限公司、寿阳县绿发种植专业合作社等5家单位征求意见</w:t>
      </w:r>
      <w:r>
        <w:rPr>
          <w:rFonts w:hint="eastAsia" w:ascii="仿宋_GB2312" w:hAnsi="宋体" w:eastAsia="仿宋_GB2312"/>
          <w:sz w:val="24"/>
        </w:rPr>
        <w:t>并修改完善。</w:t>
      </w:r>
    </w:p>
    <w:p>
      <w:pPr>
        <w:spacing w:line="360" w:lineRule="auto"/>
        <w:ind w:firstLine="480" w:firstLineChars="200"/>
        <w:rPr>
          <w:rFonts w:eastAsia="仿宋_GB2312"/>
          <w:bCs/>
          <w:sz w:val="24"/>
        </w:rPr>
      </w:pPr>
      <w:r>
        <w:rPr>
          <w:rFonts w:hint="eastAsia" w:eastAsia="仿宋_GB2312"/>
          <w:bCs/>
          <w:sz w:val="24"/>
        </w:rPr>
        <w:t>5、技术评审</w:t>
      </w:r>
    </w:p>
    <w:p>
      <w:pPr>
        <w:spacing w:line="360" w:lineRule="auto"/>
        <w:ind w:firstLine="480" w:firstLineChars="200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2024年3月24日，组织专家对</w:t>
      </w:r>
      <w:r>
        <w:rPr>
          <w:rFonts w:hint="eastAsia" w:eastAsia="仿宋_GB2312"/>
          <w:bCs/>
          <w:sz w:val="24"/>
        </w:rPr>
        <w:t>《</w:t>
      </w:r>
      <w:r>
        <w:rPr>
          <w:rFonts w:hint="eastAsia" w:ascii="仿宋_GB2312" w:hAnsi="宋体" w:eastAsia="仿宋_GB2312"/>
          <w:sz w:val="24"/>
        </w:rPr>
        <w:t>大白菜制种技术规程</w:t>
      </w:r>
      <w:r>
        <w:rPr>
          <w:rFonts w:hint="eastAsia" w:eastAsia="仿宋_GB2312"/>
          <w:bCs/>
          <w:sz w:val="24"/>
        </w:rPr>
        <w:t>》</w:t>
      </w:r>
      <w:r>
        <w:rPr>
          <w:rFonts w:hint="eastAsia" w:ascii="仿宋_GB2312" w:hAnsi="宋体" w:eastAsia="仿宋_GB2312"/>
          <w:sz w:val="24"/>
        </w:rPr>
        <w:t>进行技术评审，提出宝贵修改意见。包括规范性引用文件的补充、标题的修改、文字表述的规范及细节方面的进一步完善。工作组根据修改意见再次进行了修改完善。</w:t>
      </w:r>
    </w:p>
    <w:p>
      <w:pPr>
        <w:numPr>
          <w:ilvl w:val="0"/>
          <w:numId w:val="3"/>
        </w:numPr>
        <w:spacing w:line="360" w:lineRule="auto"/>
        <w:ind w:firstLine="480" w:firstLineChars="200"/>
        <w:rPr>
          <w:rFonts w:eastAsia="仿宋_GB2312"/>
          <w:bCs/>
          <w:sz w:val="24"/>
        </w:rPr>
      </w:pPr>
      <w:r>
        <w:rPr>
          <w:rFonts w:hint="eastAsia" w:eastAsia="仿宋_GB2312"/>
          <w:bCs/>
          <w:sz w:val="24"/>
        </w:rPr>
        <w:t>征求意见</w:t>
      </w:r>
    </w:p>
    <w:p>
      <w:pPr>
        <w:spacing w:line="360" w:lineRule="auto"/>
        <w:rPr>
          <w:rFonts w:eastAsia="仿宋_GB2312"/>
          <w:bCs/>
          <w:sz w:val="24"/>
        </w:rPr>
      </w:pPr>
      <w:r>
        <w:rPr>
          <w:rFonts w:hint="eastAsia" w:eastAsia="仿宋_GB2312"/>
          <w:bCs/>
          <w:sz w:val="24"/>
        </w:rPr>
        <w:t xml:space="preserve">    将《</w:t>
      </w:r>
      <w:r>
        <w:rPr>
          <w:rFonts w:hint="eastAsia" w:ascii="仿宋_GB2312" w:hAnsi="宋体" w:eastAsia="仿宋_GB2312"/>
          <w:sz w:val="24"/>
        </w:rPr>
        <w:t>大白菜制种技术规程</w:t>
      </w:r>
      <w:r>
        <w:rPr>
          <w:rFonts w:hint="eastAsia" w:eastAsia="仿宋_GB2312"/>
          <w:bCs/>
          <w:sz w:val="24"/>
        </w:rPr>
        <w:t>》征求意见稿报省市场监督管理局挂网向社会公开征求意见1个月。</w:t>
      </w:r>
    </w:p>
    <w:p>
      <w:pPr>
        <w:numPr>
          <w:ilvl w:val="0"/>
          <w:numId w:val="3"/>
        </w:numPr>
        <w:spacing w:line="360" w:lineRule="auto"/>
        <w:ind w:firstLine="480" w:firstLineChars="200"/>
        <w:rPr>
          <w:rFonts w:eastAsia="仿宋_GB2312"/>
          <w:bCs/>
          <w:sz w:val="24"/>
        </w:rPr>
      </w:pPr>
      <w:r>
        <w:rPr>
          <w:rFonts w:hint="eastAsia" w:eastAsia="仿宋_GB2312"/>
          <w:bCs/>
          <w:sz w:val="24"/>
        </w:rPr>
        <w:t>完善文本</w:t>
      </w:r>
    </w:p>
    <w:p>
      <w:pPr>
        <w:spacing w:line="360" w:lineRule="auto"/>
        <w:ind w:firstLine="480" w:firstLineChars="200"/>
        <w:rPr>
          <w:rFonts w:eastAsia="仿宋_GB2312"/>
          <w:bCs/>
          <w:sz w:val="24"/>
        </w:rPr>
      </w:pPr>
      <w:r>
        <w:rPr>
          <w:rFonts w:hint="eastAsia" w:eastAsia="仿宋_GB2312"/>
          <w:bCs/>
          <w:sz w:val="24"/>
        </w:rPr>
        <w:t>将《</w:t>
      </w:r>
      <w:r>
        <w:rPr>
          <w:rFonts w:hint="eastAsia" w:ascii="仿宋_GB2312" w:hAnsi="宋体" w:eastAsia="仿宋_GB2312"/>
          <w:sz w:val="24"/>
        </w:rPr>
        <w:t>大白菜制种技术规程</w:t>
      </w:r>
      <w:r>
        <w:rPr>
          <w:rFonts w:hint="eastAsia" w:eastAsia="仿宋_GB2312"/>
          <w:bCs/>
          <w:sz w:val="24"/>
        </w:rPr>
        <w:t>》进一步修改完善后形成标准送审稿，标委会表决通过。</w:t>
      </w:r>
    </w:p>
    <w:p>
      <w:pPr>
        <w:numPr>
          <w:ilvl w:val="0"/>
          <w:numId w:val="3"/>
        </w:numPr>
        <w:spacing w:line="360" w:lineRule="auto"/>
        <w:ind w:firstLine="480" w:firstLineChars="200"/>
        <w:rPr>
          <w:rFonts w:eastAsia="仿宋_GB2312"/>
          <w:bCs/>
          <w:sz w:val="24"/>
        </w:rPr>
      </w:pPr>
      <w:r>
        <w:rPr>
          <w:rFonts w:hint="eastAsia" w:eastAsia="仿宋_GB2312"/>
          <w:bCs/>
          <w:sz w:val="24"/>
        </w:rPr>
        <w:t>形成报批稿、提交报批材料</w:t>
      </w:r>
    </w:p>
    <w:p>
      <w:pPr>
        <w:spacing w:line="360" w:lineRule="auto"/>
        <w:ind w:firstLine="480" w:firstLineChars="200"/>
        <w:rPr>
          <w:rFonts w:eastAsia="仿宋_GB2312"/>
          <w:bCs/>
          <w:sz w:val="24"/>
        </w:rPr>
      </w:pPr>
      <w:r>
        <w:rPr>
          <w:rFonts w:hint="eastAsia" w:eastAsia="仿宋_GB2312"/>
          <w:bCs/>
          <w:sz w:val="24"/>
        </w:rPr>
        <w:t>形成《</w:t>
      </w:r>
      <w:r>
        <w:rPr>
          <w:rFonts w:hint="eastAsia" w:ascii="仿宋_GB2312" w:hAnsi="宋体" w:eastAsia="仿宋_GB2312"/>
          <w:sz w:val="24"/>
        </w:rPr>
        <w:t>大白菜制种技术规程</w:t>
      </w:r>
      <w:r>
        <w:rPr>
          <w:rFonts w:hint="eastAsia" w:eastAsia="仿宋_GB2312"/>
          <w:bCs/>
          <w:sz w:val="24"/>
        </w:rPr>
        <w:t>》报批稿，并提交报批材料，完成修订工作。</w:t>
      </w:r>
    </w:p>
    <w:p>
      <w:pPr>
        <w:spacing w:line="360" w:lineRule="auto"/>
        <w:ind w:firstLine="480" w:firstLineChars="200"/>
        <w:rPr>
          <w:rFonts w:ascii="黑体" w:eastAsia="黑体"/>
          <w:sz w:val="24"/>
        </w:rPr>
      </w:pPr>
      <w:r>
        <w:rPr>
          <w:rFonts w:hint="eastAsia" w:ascii="黑体" w:eastAsia="黑体"/>
          <w:sz w:val="24"/>
        </w:rPr>
        <w:t>四</w:t>
      </w:r>
      <w:r>
        <w:rPr>
          <w:rFonts w:ascii="黑体" w:eastAsia="黑体"/>
          <w:sz w:val="24"/>
        </w:rPr>
        <w:t>、</w:t>
      </w:r>
      <w:r>
        <w:rPr>
          <w:rFonts w:hint="eastAsia" w:ascii="黑体" w:eastAsia="黑体"/>
          <w:sz w:val="24"/>
        </w:rPr>
        <w:t>制修</w:t>
      </w:r>
      <w:r>
        <w:rPr>
          <w:rFonts w:ascii="黑体" w:eastAsia="黑体"/>
          <w:sz w:val="24"/>
        </w:rPr>
        <w:t>订标准的原则和依据，与现行法律、法规、标准的关系</w:t>
      </w:r>
    </w:p>
    <w:p>
      <w:pPr>
        <w:pStyle w:val="4"/>
        <w:spacing w:line="360" w:lineRule="auto"/>
        <w:ind w:firstLine="480"/>
        <w:rPr>
          <w:rFonts w:ascii="仿宋_GB2312" w:hAnsi="宋体" w:eastAsia="仿宋_GB2312"/>
          <w:sz w:val="24"/>
          <w:szCs w:val="24"/>
        </w:rPr>
      </w:pPr>
      <w:r>
        <w:rPr>
          <w:rFonts w:hint="eastAsia" w:ascii="仿宋_GB2312" w:hAnsi="宋体" w:eastAsia="仿宋_GB2312"/>
          <w:sz w:val="24"/>
          <w:szCs w:val="24"/>
        </w:rPr>
        <w:t>本文件严格遵循《中华人民共和国标准化法》《山西省标准化条例》《中华人民共和国农业法》《中华人民共和国农业技术推广法》等法律法规，按照国家标准《</w:t>
      </w:r>
      <w:r>
        <w:rPr>
          <w:rFonts w:ascii="仿宋_GB2312" w:hAnsi="宋体" w:eastAsia="仿宋_GB2312"/>
          <w:sz w:val="24"/>
          <w:szCs w:val="24"/>
        </w:rPr>
        <w:t>GB/T 1.1</w:t>
      </w:r>
      <w:r>
        <w:rPr>
          <w:rFonts w:hint="eastAsia" w:ascii="仿宋_GB2312" w:hAnsi="宋体" w:eastAsia="仿宋_GB2312"/>
          <w:sz w:val="24"/>
          <w:szCs w:val="24"/>
        </w:rPr>
        <w:t>—2020 标准化工作导则 第1部分：标准化文件的结构和起草规则》的规定，在学习国家标准《GB 16715.2 瓜菜作物种子 第2部分：白菜类》等文件的基础上进行制定。</w:t>
      </w:r>
    </w:p>
    <w:p>
      <w:pPr>
        <w:spacing w:line="360" w:lineRule="auto"/>
        <w:ind w:firstLine="480" w:firstLineChars="200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本文件是针对我省大白菜制种技术需求，根据山西省地理气候条件和栽培习惯制定的。本文件的各项技术均来自于多点试验数据，经过多年生产示范后完善并确定的。山西是大白菜生产、消费、科研大省，山西农业大学园艺学院大白菜育种团队具有多年大白菜育种、良种繁育、技术推广经验。在编写过程中，项目组查阅了国内外最新的文献资料，进行了反复调查研究和总结归纳。综上所述，本文件满足</w:t>
      </w:r>
      <w:r>
        <w:rPr>
          <w:rFonts w:ascii="仿宋_GB2312" w:hAnsi="宋体" w:eastAsia="仿宋_GB2312"/>
          <w:sz w:val="24"/>
        </w:rPr>
        <w:t>合法性、安全性、适应性、协调性和先进性等要求</w:t>
      </w:r>
      <w:r>
        <w:rPr>
          <w:rFonts w:hint="eastAsia" w:ascii="仿宋_GB2312" w:hAnsi="宋体" w:eastAsia="仿宋_GB2312"/>
          <w:sz w:val="24"/>
        </w:rPr>
        <w:t>。</w:t>
      </w:r>
    </w:p>
    <w:p>
      <w:pPr>
        <w:spacing w:line="360" w:lineRule="auto"/>
        <w:ind w:firstLine="480" w:firstLineChars="200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本文件与现行法律、法规及标准协调一致，没有冲突。</w:t>
      </w:r>
    </w:p>
    <w:p>
      <w:pPr>
        <w:spacing w:line="360" w:lineRule="auto"/>
        <w:ind w:firstLine="480" w:firstLineChars="200"/>
        <w:outlineLvl w:val="0"/>
        <w:rPr>
          <w:rFonts w:ascii="黑体" w:eastAsia="黑体"/>
          <w:sz w:val="24"/>
        </w:rPr>
      </w:pPr>
      <w:r>
        <w:rPr>
          <w:rFonts w:hint="eastAsia" w:ascii="黑体" w:eastAsia="黑体"/>
          <w:sz w:val="24"/>
        </w:rPr>
        <w:t>五</w:t>
      </w:r>
      <w:r>
        <w:rPr>
          <w:rFonts w:ascii="黑体" w:eastAsia="黑体"/>
          <w:sz w:val="24"/>
        </w:rPr>
        <w:t>、主要条款的说明，主要技术指标、参数、试验验证的分析、综合论述</w:t>
      </w:r>
    </w:p>
    <w:p>
      <w:pPr>
        <w:spacing w:line="360" w:lineRule="auto"/>
        <w:ind w:firstLine="480" w:firstLineChars="200"/>
        <w:rPr>
          <w:rFonts w:eastAsia="仿宋_GB2312"/>
          <w:bCs/>
          <w:sz w:val="24"/>
        </w:rPr>
      </w:pPr>
      <w:r>
        <w:rPr>
          <w:rFonts w:hint="eastAsia" w:eastAsia="仿宋_GB2312"/>
          <w:bCs/>
          <w:sz w:val="24"/>
        </w:rPr>
        <w:t>标准起草组以“合法性、安全性、适应性、协调性和先进性”为修订原则，以文本结构更加合理、表述更加准确、技术指标更加科学为修订目标，从3个方面对文本进行了修订，其中：</w:t>
      </w:r>
    </w:p>
    <w:p>
      <w:pPr>
        <w:spacing w:line="360" w:lineRule="auto"/>
        <w:ind w:firstLine="480" w:firstLineChars="200"/>
        <w:rPr>
          <w:rFonts w:eastAsia="仿宋_GB2312"/>
          <w:bCs/>
          <w:sz w:val="24"/>
        </w:rPr>
      </w:pPr>
      <w:r>
        <w:rPr>
          <w:rFonts w:hint="eastAsia" w:eastAsia="仿宋_GB2312"/>
          <w:bCs/>
          <w:sz w:val="24"/>
        </w:rPr>
        <w:t>1、涉及结构性调整的主要有5项：</w:t>
      </w:r>
    </w:p>
    <w:p>
      <w:pPr>
        <w:spacing w:line="360" w:lineRule="auto"/>
        <w:ind w:firstLine="480" w:firstLineChars="200"/>
        <w:rPr>
          <w:rFonts w:eastAsia="仿宋_GB2312"/>
          <w:bCs/>
          <w:sz w:val="24"/>
        </w:rPr>
      </w:pPr>
      <w:r>
        <w:rPr>
          <w:rFonts w:hint="eastAsia" w:eastAsia="仿宋_GB2312"/>
          <w:bCs/>
          <w:sz w:val="24"/>
        </w:rPr>
        <w:t>（1）增加了隔离要求（4.2）。修订原因：隔离要求是种子质量的保障，隔离不到位会导致种子纯度降低。2018版中仅在田间管理章节简单提及，本次修订将这部分内容放在第4章“环境条件”单独作为一条，并进行了详细陈述。</w:t>
      </w:r>
    </w:p>
    <w:p>
      <w:pPr>
        <w:spacing w:line="360" w:lineRule="auto"/>
        <w:ind w:firstLine="480" w:firstLineChars="200"/>
        <w:rPr>
          <w:rFonts w:eastAsia="仿宋_GB2312"/>
          <w:bCs/>
          <w:sz w:val="24"/>
        </w:rPr>
      </w:pPr>
      <w:r>
        <w:rPr>
          <w:rFonts w:hint="eastAsia" w:eastAsia="仿宋_GB2312"/>
          <w:bCs/>
          <w:sz w:val="24"/>
        </w:rPr>
        <w:t>（2）增加了</w:t>
      </w:r>
      <w:r>
        <w:rPr>
          <w:rFonts w:eastAsia="仿宋_GB2312"/>
          <w:bCs/>
          <w:sz w:val="24"/>
        </w:rPr>
        <w:t>机械化操作的内容</w:t>
      </w:r>
      <w:r>
        <w:rPr>
          <w:rFonts w:hint="eastAsia" w:eastAsia="仿宋_GB2312"/>
          <w:bCs/>
          <w:sz w:val="24"/>
        </w:rPr>
        <w:t>（6.2、7.1、7.3）。修订原因：近年来机械化操作在农业生产中越来越重要，大白菜制种过程中的育苗播种、整地、移栽等环节也可使用机械来提高生产效率。</w:t>
      </w:r>
    </w:p>
    <w:p>
      <w:pPr>
        <w:spacing w:line="360" w:lineRule="auto"/>
        <w:ind w:firstLine="480" w:firstLineChars="200"/>
        <w:rPr>
          <w:rFonts w:eastAsia="仿宋_GB2312"/>
          <w:bCs/>
          <w:sz w:val="24"/>
        </w:rPr>
      </w:pPr>
      <w:r>
        <w:rPr>
          <w:rFonts w:hint="eastAsia" w:eastAsia="仿宋_GB2312"/>
          <w:bCs/>
          <w:sz w:val="24"/>
        </w:rPr>
        <w:t>（3）增加了授粉方法（8.3）。修订原因：</w:t>
      </w:r>
      <w:r>
        <w:rPr>
          <w:rFonts w:eastAsia="仿宋_GB2312"/>
          <w:bCs/>
          <w:sz w:val="24"/>
        </w:rPr>
        <w:t>大白菜</w:t>
      </w:r>
      <w:r>
        <w:rPr>
          <w:rFonts w:hint="eastAsia" w:eastAsia="仿宋_GB2312"/>
          <w:bCs/>
          <w:sz w:val="24"/>
        </w:rPr>
        <w:t>是</w:t>
      </w:r>
      <w:r>
        <w:rPr>
          <w:rFonts w:eastAsia="仿宋_GB2312"/>
          <w:bCs/>
          <w:sz w:val="24"/>
        </w:rPr>
        <w:t>典型的异花授粉虫媒花植物</w:t>
      </w:r>
      <w:r>
        <w:rPr>
          <w:rFonts w:hint="eastAsia" w:eastAsia="仿宋_GB2312"/>
          <w:bCs/>
          <w:sz w:val="24"/>
        </w:rPr>
        <w:t>，授粉过程对种子的质量和产量非常重要。因此本次修订在第8章“田间管理”中增加了“授粉”一条，并将2018版中“花期不遇的调节”等相关内容合并至本条。</w:t>
      </w:r>
    </w:p>
    <w:p>
      <w:pPr>
        <w:spacing w:line="360" w:lineRule="auto"/>
        <w:ind w:firstLine="480" w:firstLineChars="200"/>
        <w:rPr>
          <w:rFonts w:eastAsia="仿宋_GB2312"/>
          <w:bCs/>
          <w:sz w:val="24"/>
        </w:rPr>
      </w:pPr>
      <w:r>
        <w:rPr>
          <w:rFonts w:hint="eastAsia" w:eastAsia="仿宋_GB2312"/>
          <w:bCs/>
          <w:sz w:val="24"/>
        </w:rPr>
        <w:t>（4）删除了用药时间（2018版第6章）。修订原因：在生产中发现根据当地的环境条件、防治方法及使用药剂的不同，可灵活用药。</w:t>
      </w:r>
    </w:p>
    <w:p>
      <w:pPr>
        <w:spacing w:line="360" w:lineRule="auto"/>
        <w:ind w:firstLine="480" w:firstLineChars="200"/>
        <w:rPr>
          <w:rFonts w:eastAsia="仿宋_GB2312"/>
          <w:bCs/>
          <w:sz w:val="24"/>
        </w:rPr>
      </w:pPr>
      <w:r>
        <w:rPr>
          <w:rFonts w:hint="eastAsia" w:eastAsia="仿宋_GB2312"/>
          <w:bCs/>
          <w:sz w:val="24"/>
        </w:rPr>
        <w:t xml:space="preserve">（5）增加了生产档案及表格（10、附录B）。修订原因：生产档案可记录种子生产的相关信息，使可追溯，提高生产的安全性。 </w:t>
      </w:r>
    </w:p>
    <w:p>
      <w:pPr>
        <w:spacing w:line="360" w:lineRule="auto"/>
        <w:ind w:firstLine="480" w:firstLineChars="200"/>
        <w:rPr>
          <w:rFonts w:eastAsia="仿宋_GB2312"/>
          <w:bCs/>
          <w:sz w:val="24"/>
        </w:rPr>
      </w:pPr>
      <w:r>
        <w:rPr>
          <w:rFonts w:hint="eastAsia" w:eastAsia="仿宋_GB2312"/>
          <w:bCs/>
          <w:sz w:val="24"/>
        </w:rPr>
        <w:t>2、涉及表述与编辑性修改的主要有3项：</w:t>
      </w:r>
    </w:p>
    <w:p>
      <w:pPr>
        <w:spacing w:line="360" w:lineRule="auto"/>
        <w:ind w:firstLine="480" w:firstLineChars="200"/>
        <w:rPr>
          <w:rFonts w:eastAsia="仿宋_GB2312"/>
          <w:bCs/>
          <w:sz w:val="24"/>
        </w:rPr>
      </w:pPr>
      <w:r>
        <w:rPr>
          <w:rFonts w:hint="eastAsia" w:eastAsia="仿宋_GB2312"/>
          <w:bCs/>
          <w:sz w:val="24"/>
        </w:rPr>
        <w:t>（1）更改了苗期温度管理的内容（6.4.1）。修订原因：采用不同的育苗设施对温度管理的操作有所不同，本次修订只规范了温度范围，可根据实际情况选择适宜的方法。</w:t>
      </w:r>
    </w:p>
    <w:p>
      <w:pPr>
        <w:spacing w:line="360" w:lineRule="auto"/>
        <w:ind w:firstLine="480" w:firstLineChars="200"/>
        <w:rPr>
          <w:rFonts w:eastAsia="仿宋_GB2312"/>
          <w:bCs/>
          <w:sz w:val="24"/>
        </w:rPr>
      </w:pPr>
      <w:r>
        <w:rPr>
          <w:rFonts w:hint="eastAsia" w:eastAsia="仿宋_GB2312"/>
          <w:bCs/>
          <w:sz w:val="24"/>
        </w:rPr>
        <w:t>（2）更改了壮苗标准（6.5）。修订原因：根据生产情况变化更改了苗龄范围，并增加了壮苗标准的其他要求。</w:t>
      </w:r>
    </w:p>
    <w:p>
      <w:pPr>
        <w:spacing w:line="360" w:lineRule="auto"/>
        <w:ind w:firstLine="480" w:firstLineChars="200"/>
        <w:rPr>
          <w:rFonts w:eastAsia="仿宋_GB2312"/>
          <w:bCs/>
          <w:sz w:val="24"/>
        </w:rPr>
      </w:pPr>
      <w:r>
        <w:rPr>
          <w:rFonts w:hint="eastAsia" w:eastAsia="仿宋_GB2312"/>
          <w:bCs/>
          <w:sz w:val="24"/>
        </w:rPr>
        <w:t>（3）更改了定植密度（7.3）。修订原因：根据生产情况，株形紧凑的亲本可适当增加定植密度，提高生产效益。</w:t>
      </w:r>
    </w:p>
    <w:p>
      <w:pPr>
        <w:spacing w:line="360" w:lineRule="auto"/>
        <w:ind w:firstLine="480" w:firstLineChars="200"/>
        <w:rPr>
          <w:rFonts w:eastAsia="仿宋_GB2312"/>
          <w:bCs/>
          <w:sz w:val="24"/>
        </w:rPr>
      </w:pPr>
      <w:r>
        <w:rPr>
          <w:rFonts w:hint="eastAsia" w:eastAsia="仿宋_GB2312"/>
          <w:bCs/>
          <w:sz w:val="24"/>
        </w:rPr>
        <w:t>3、涉及到的技术指标主要有2项：</w:t>
      </w:r>
    </w:p>
    <w:p>
      <w:pPr>
        <w:spacing w:line="360" w:lineRule="auto"/>
        <w:ind w:firstLine="480" w:firstLineChars="200"/>
        <w:rPr>
          <w:rFonts w:eastAsia="仿宋_GB2312"/>
          <w:bCs/>
          <w:sz w:val="24"/>
        </w:rPr>
      </w:pPr>
      <w:r>
        <w:rPr>
          <w:rFonts w:hint="eastAsia" w:ascii="仿宋_GB2312" w:hAnsi="宋体" w:eastAsia="仿宋_GB2312"/>
          <w:sz w:val="24"/>
        </w:rPr>
        <w:t>（1）</w:t>
      </w:r>
      <w:r>
        <w:rPr>
          <w:rFonts w:hint="eastAsia" w:eastAsia="仿宋_GB2312"/>
          <w:bCs/>
          <w:sz w:val="24"/>
        </w:rPr>
        <w:t>隔离要求（4.2）。修订原因及试验验证分析：2017-2020年，课题组先后在山西省运城市临猗县、夏县，晋中市太谷县、寿阳县，大同市应县等地进行大白菜制种试验。试验材料为大白菜品种“晋青2号”和“晋春3号”的父母本，其母本材料均为雄性不育系。设置1000 m、1500 m、2000 m这3种隔离距离，收获后测定种子的纯度。试验结果表明，随着隔离距离的增加，种子纯度呈上升趋势，当隔离距离为2000 m时，种子纯度可达到100%，满足生产要求。因此大白菜制种田的隔离距离为不少于2000 m。</w:t>
      </w:r>
    </w:p>
    <w:p>
      <w:pPr>
        <w:spacing w:line="360" w:lineRule="auto"/>
        <w:jc w:val="center"/>
        <w:rPr>
          <w:rFonts w:eastAsia="仿宋_GB2312"/>
          <w:bCs/>
          <w:sz w:val="24"/>
        </w:rPr>
      </w:pPr>
      <w:r>
        <w:rPr>
          <w:rFonts w:hint="eastAsia" w:eastAsia="仿宋_GB2312"/>
          <w:bCs/>
          <w:sz w:val="24"/>
        </w:rPr>
        <w:t>表1 不同隔离距离繁育的种子纯度</w:t>
      </w:r>
    </w:p>
    <w:tbl>
      <w:tblPr>
        <w:tblStyle w:val="13"/>
        <w:tblW w:w="0" w:type="auto"/>
        <w:tblInd w:w="755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704"/>
        <w:gridCol w:w="1704"/>
        <w:gridCol w:w="1705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bCs/>
                <w:sz w:val="24"/>
              </w:rPr>
            </w:pPr>
          </w:p>
        </w:tc>
        <w:tc>
          <w:tcPr>
            <w:tcW w:w="1704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hint="eastAsia" w:eastAsia="仿宋_GB2312"/>
                <w:bCs/>
                <w:sz w:val="24"/>
              </w:rPr>
              <w:t>1000 m</w:t>
            </w:r>
          </w:p>
        </w:tc>
        <w:tc>
          <w:tcPr>
            <w:tcW w:w="1704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hint="eastAsia" w:eastAsia="仿宋_GB2312"/>
                <w:bCs/>
                <w:sz w:val="24"/>
              </w:rPr>
              <w:t>1500 m</w:t>
            </w:r>
          </w:p>
        </w:tc>
        <w:tc>
          <w:tcPr>
            <w:tcW w:w="1705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hint="eastAsia" w:eastAsia="仿宋_GB2312"/>
                <w:bCs/>
                <w:sz w:val="24"/>
              </w:rPr>
              <w:t>2000 m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tcBorders>
              <w:bottom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hint="eastAsia" w:eastAsia="仿宋_GB2312"/>
                <w:bCs/>
                <w:sz w:val="24"/>
              </w:rPr>
              <w:t>晋青2号</w:t>
            </w:r>
          </w:p>
        </w:tc>
        <w:tc>
          <w:tcPr>
            <w:tcW w:w="1704" w:type="dxa"/>
            <w:tcBorders>
              <w:bottom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hint="eastAsia" w:eastAsia="仿宋_GB2312"/>
                <w:bCs/>
                <w:sz w:val="24"/>
              </w:rPr>
              <w:t>86.5%</w:t>
            </w:r>
          </w:p>
        </w:tc>
        <w:tc>
          <w:tcPr>
            <w:tcW w:w="1704" w:type="dxa"/>
            <w:tcBorders>
              <w:bottom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hint="eastAsia" w:eastAsia="仿宋_GB2312"/>
                <w:bCs/>
                <w:sz w:val="24"/>
              </w:rPr>
              <w:t>98.4%</w:t>
            </w:r>
          </w:p>
        </w:tc>
        <w:tc>
          <w:tcPr>
            <w:tcW w:w="1705" w:type="dxa"/>
            <w:tcBorders>
              <w:bottom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hint="eastAsia" w:eastAsia="仿宋_GB2312"/>
                <w:bCs/>
                <w:sz w:val="24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tcBorders>
              <w:top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hint="eastAsia" w:eastAsia="仿宋_GB2312"/>
                <w:bCs/>
                <w:sz w:val="24"/>
              </w:rPr>
              <w:t>晋春3号</w:t>
            </w:r>
          </w:p>
        </w:tc>
        <w:tc>
          <w:tcPr>
            <w:tcW w:w="1704" w:type="dxa"/>
            <w:tcBorders>
              <w:top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hint="eastAsia" w:eastAsia="仿宋_GB2312"/>
                <w:bCs/>
                <w:sz w:val="24"/>
              </w:rPr>
              <w:t>91.3%</w:t>
            </w:r>
          </w:p>
        </w:tc>
        <w:tc>
          <w:tcPr>
            <w:tcW w:w="1704" w:type="dxa"/>
            <w:tcBorders>
              <w:top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hint="eastAsia" w:eastAsia="仿宋_GB2312"/>
                <w:bCs/>
                <w:sz w:val="24"/>
              </w:rPr>
              <w:t>96.1%</w:t>
            </w:r>
          </w:p>
        </w:tc>
        <w:tc>
          <w:tcPr>
            <w:tcW w:w="1705" w:type="dxa"/>
            <w:tcBorders>
              <w:top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hint="eastAsia" w:eastAsia="仿宋_GB2312"/>
                <w:bCs/>
                <w:sz w:val="24"/>
              </w:rPr>
              <w:t>100%</w:t>
            </w:r>
          </w:p>
        </w:tc>
      </w:tr>
    </w:tbl>
    <w:p>
      <w:pPr>
        <w:spacing w:line="360" w:lineRule="auto"/>
        <w:ind w:firstLine="480" w:firstLineChars="200"/>
        <w:rPr>
          <w:rFonts w:eastAsia="仿宋_GB2312"/>
          <w:bCs/>
          <w:sz w:val="24"/>
        </w:rPr>
      </w:pPr>
      <w:r>
        <w:rPr>
          <w:rFonts w:hint="eastAsia" w:eastAsia="仿宋_GB2312"/>
          <w:bCs/>
          <w:sz w:val="24"/>
        </w:rPr>
        <w:t>（2）授粉（8.3）。修订原因及试验验证分析：以大白菜品种“晋青2号”的父母本为试验材料，根据制种田花期自然界的蜂源情况，确定授粉方法。杂交制种田面积大，采用自然隔离，当蜂源充足时可利用自然界的蜜蜂等昆虫进行授粉。当花期蜂源不足时，要及时购买蜜蜂补充，或找当地养蜂人协商在制种田附近放蜂，保证每667 m</w:t>
      </w:r>
      <w:r>
        <w:rPr>
          <w:rFonts w:hint="eastAsia" w:eastAsia="仿宋_GB2312"/>
          <w:bCs/>
          <w:sz w:val="24"/>
          <w:vertAlign w:val="superscript"/>
        </w:rPr>
        <w:t>2</w:t>
      </w:r>
      <w:r>
        <w:rPr>
          <w:rFonts w:hint="eastAsia" w:eastAsia="仿宋_GB2312"/>
          <w:bCs/>
          <w:sz w:val="24"/>
        </w:rPr>
        <w:t>有蜜蜂5000只以上。要注意在花期不得喷洒农药，以减少对蜜蜂的伤害，保证授粉质量。</w:t>
      </w:r>
    </w:p>
    <w:p>
      <w:pPr>
        <w:spacing w:line="360" w:lineRule="auto"/>
        <w:ind w:firstLine="480" w:firstLineChars="200"/>
        <w:outlineLvl w:val="0"/>
        <w:rPr>
          <w:rFonts w:ascii="黑体" w:eastAsia="黑体"/>
          <w:sz w:val="24"/>
        </w:rPr>
      </w:pPr>
      <w:r>
        <w:rPr>
          <w:rFonts w:hint="eastAsia" w:ascii="黑体" w:eastAsia="黑体"/>
          <w:sz w:val="24"/>
        </w:rPr>
        <w:t>六</w:t>
      </w:r>
      <w:r>
        <w:rPr>
          <w:rFonts w:ascii="黑体" w:eastAsia="黑体"/>
          <w:sz w:val="24"/>
        </w:rPr>
        <w:t>、</w:t>
      </w:r>
      <w:r>
        <w:rPr>
          <w:rFonts w:hint="eastAsia" w:ascii="黑体" w:eastAsia="黑体"/>
          <w:sz w:val="24"/>
        </w:rPr>
        <w:t>重大</w:t>
      </w:r>
      <w:r>
        <w:rPr>
          <w:rFonts w:ascii="黑体" w:eastAsia="黑体"/>
          <w:sz w:val="24"/>
        </w:rPr>
        <w:t>意见分歧的处理依据和结果</w:t>
      </w:r>
    </w:p>
    <w:p>
      <w:pPr>
        <w:spacing w:line="360" w:lineRule="auto"/>
        <w:ind w:firstLine="480" w:firstLineChars="200"/>
        <w:outlineLvl w:val="0"/>
        <w:rPr>
          <w:rFonts w:ascii="黑体" w:eastAsia="黑体"/>
          <w:sz w:val="24"/>
        </w:rPr>
      </w:pPr>
      <w:r>
        <w:rPr>
          <w:rFonts w:hint="eastAsia" w:eastAsia="仿宋_GB2312"/>
          <w:bCs/>
          <w:sz w:val="24"/>
        </w:rPr>
        <w:t>标准形成过程中，项目组先后向山西省种业发展中心、山西省蔬菜产业技术体系、山西农业大学植物保护学院、山西科萌种业有限公司、寿阳县绿发种植专业合作社等5家单位征求意见，共收到反馈意见13条，其中采纳意见13条，未采纳意见0条。在</w:t>
      </w:r>
      <w:r>
        <w:rPr>
          <w:rFonts w:eastAsia="仿宋_GB2312"/>
          <w:bCs/>
          <w:sz w:val="24"/>
        </w:rPr>
        <w:t>征求意见过程中</w:t>
      </w:r>
      <w:r>
        <w:rPr>
          <w:rFonts w:hint="eastAsia" w:eastAsia="仿宋_GB2312"/>
          <w:bCs/>
          <w:sz w:val="24"/>
        </w:rPr>
        <w:t>没</w:t>
      </w:r>
      <w:r>
        <w:rPr>
          <w:rFonts w:eastAsia="仿宋_GB2312"/>
          <w:bCs/>
          <w:sz w:val="24"/>
        </w:rPr>
        <w:t>有重大分歧意见</w:t>
      </w:r>
      <w:r>
        <w:rPr>
          <w:rFonts w:hint="eastAsia" w:eastAsia="仿宋_GB2312"/>
          <w:bCs/>
          <w:sz w:val="24"/>
        </w:rPr>
        <w:t>。</w:t>
      </w:r>
    </w:p>
    <w:p>
      <w:pPr>
        <w:spacing w:line="360" w:lineRule="auto"/>
        <w:ind w:firstLine="480" w:firstLineChars="200"/>
        <w:outlineLvl w:val="0"/>
        <w:rPr>
          <w:rFonts w:ascii="黑体" w:eastAsia="黑体"/>
          <w:sz w:val="24"/>
        </w:rPr>
      </w:pPr>
      <w:r>
        <w:rPr>
          <w:rFonts w:hint="eastAsia" w:ascii="黑体" w:eastAsia="黑体"/>
          <w:sz w:val="24"/>
        </w:rPr>
        <w:t>七</w:t>
      </w:r>
      <w:r>
        <w:rPr>
          <w:rFonts w:ascii="黑体" w:eastAsia="黑体"/>
          <w:sz w:val="24"/>
        </w:rPr>
        <w:t>、</w:t>
      </w:r>
      <w:r>
        <w:rPr>
          <w:rFonts w:hint="eastAsia" w:ascii="黑体" w:eastAsia="黑体"/>
          <w:sz w:val="24"/>
        </w:rPr>
        <w:t>采标</w:t>
      </w:r>
      <w:r>
        <w:rPr>
          <w:rFonts w:ascii="黑体" w:eastAsia="黑体"/>
          <w:sz w:val="24"/>
        </w:rPr>
        <w:t>情况，是否合规引用或采用国际标准和国外先进标准，以及与国内外同类标准水平的对比情况</w:t>
      </w:r>
    </w:p>
    <w:p>
      <w:pPr>
        <w:pStyle w:val="4"/>
        <w:spacing w:line="360" w:lineRule="auto"/>
        <w:ind w:firstLine="480"/>
        <w:rPr>
          <w:rFonts w:eastAsia="仿宋_GB2312"/>
          <w:bCs/>
          <w:sz w:val="24"/>
          <w:szCs w:val="24"/>
        </w:rPr>
      </w:pPr>
      <w:r>
        <w:rPr>
          <w:rFonts w:hint="eastAsia" w:eastAsia="仿宋_GB2312"/>
          <w:bCs/>
          <w:sz w:val="24"/>
          <w:szCs w:val="24"/>
        </w:rPr>
        <w:t>本文件按照国家标准《</w:t>
      </w:r>
      <w:r>
        <w:rPr>
          <w:rFonts w:eastAsia="仿宋_GB2312"/>
          <w:bCs/>
          <w:sz w:val="24"/>
          <w:szCs w:val="24"/>
        </w:rPr>
        <w:t>GB/T 1.1</w:t>
      </w:r>
      <w:r>
        <w:rPr>
          <w:rFonts w:hint="eastAsia" w:eastAsia="仿宋_GB2312"/>
          <w:bCs/>
          <w:sz w:val="24"/>
          <w:szCs w:val="24"/>
        </w:rPr>
        <w:t>—2020 标准化工作导则 第1部分：标准化文件的结构和起草规则》的规定，在学习国家标准《GB 16715.2 瓜菜作物种子 第2部分：白菜类》等文件的基础上进行制定。未</w:t>
      </w:r>
      <w:r>
        <w:rPr>
          <w:rFonts w:eastAsia="仿宋_GB2312"/>
          <w:bCs/>
          <w:sz w:val="24"/>
          <w:szCs w:val="24"/>
        </w:rPr>
        <w:t>引用或采用国际标准和国外标准</w:t>
      </w:r>
      <w:r>
        <w:rPr>
          <w:rFonts w:hint="eastAsia" w:eastAsia="仿宋_GB2312"/>
          <w:bCs/>
          <w:sz w:val="24"/>
          <w:szCs w:val="24"/>
        </w:rPr>
        <w:t>。</w:t>
      </w:r>
    </w:p>
    <w:p>
      <w:pPr>
        <w:pStyle w:val="4"/>
        <w:spacing w:line="360" w:lineRule="auto"/>
        <w:ind w:firstLine="480"/>
        <w:rPr>
          <w:rFonts w:eastAsia="仿宋_GB2312"/>
          <w:bCs/>
          <w:sz w:val="24"/>
          <w:szCs w:val="24"/>
        </w:rPr>
      </w:pPr>
      <w:r>
        <w:rPr>
          <w:rFonts w:hint="eastAsia" w:eastAsia="仿宋_GB2312"/>
          <w:bCs/>
          <w:sz w:val="24"/>
          <w:szCs w:val="24"/>
        </w:rPr>
        <w:t>大白菜是非常重要的蔬菜作物，制种量大，目前行业标准和地方标准中已有关于其杂交种生产的技术规程。与</w:t>
      </w:r>
      <w:r>
        <w:rPr>
          <w:rFonts w:eastAsia="仿宋_GB2312"/>
          <w:bCs/>
          <w:sz w:val="24"/>
          <w:szCs w:val="24"/>
        </w:rPr>
        <w:t>国内外同类标准</w:t>
      </w:r>
      <w:r>
        <w:rPr>
          <w:rFonts w:hint="eastAsia" w:eastAsia="仿宋_GB2312"/>
          <w:bCs/>
          <w:sz w:val="24"/>
          <w:szCs w:val="24"/>
        </w:rPr>
        <w:t>相比，本文件突出了以下内容：</w:t>
      </w:r>
    </w:p>
    <w:p>
      <w:pPr>
        <w:pStyle w:val="4"/>
        <w:spacing w:line="360" w:lineRule="auto"/>
        <w:ind w:firstLine="480"/>
        <w:rPr>
          <w:rFonts w:eastAsia="仿宋_GB2312"/>
          <w:bCs/>
          <w:sz w:val="24"/>
          <w:szCs w:val="24"/>
        </w:rPr>
      </w:pPr>
      <w:r>
        <w:rPr>
          <w:rFonts w:eastAsia="仿宋_GB2312"/>
          <w:bCs/>
          <w:sz w:val="24"/>
          <w:szCs w:val="24"/>
        </w:rPr>
        <w:t>1</w:t>
      </w:r>
      <w:r>
        <w:rPr>
          <w:rFonts w:hint="eastAsia" w:eastAsia="仿宋_GB2312"/>
          <w:bCs/>
          <w:sz w:val="24"/>
          <w:szCs w:val="24"/>
        </w:rPr>
        <w:t>、针对山西省大白菜制种技术需求，根据山西省地理气候条件和栽培习惯，详细制定了育苗和定植等操作方法和技术要求。</w:t>
      </w:r>
    </w:p>
    <w:p>
      <w:pPr>
        <w:spacing w:line="360" w:lineRule="auto"/>
        <w:ind w:firstLine="480" w:firstLineChars="200"/>
        <w:outlineLvl w:val="0"/>
        <w:rPr>
          <w:rFonts w:eastAsia="仿宋_GB2312"/>
          <w:bCs/>
          <w:sz w:val="24"/>
        </w:rPr>
      </w:pPr>
      <w:r>
        <w:rPr>
          <w:rFonts w:eastAsia="仿宋_GB2312"/>
          <w:bCs/>
          <w:sz w:val="24"/>
        </w:rPr>
        <w:t>2</w:t>
      </w:r>
      <w:r>
        <w:rPr>
          <w:rFonts w:hint="eastAsia" w:eastAsia="仿宋_GB2312"/>
          <w:bCs/>
          <w:sz w:val="24"/>
        </w:rPr>
        <w:t>、根据近年来农业机械使用情况及我省生产习惯，增加了相关操作可使用的机械，提升制种效率。</w:t>
      </w:r>
    </w:p>
    <w:p>
      <w:pPr>
        <w:spacing w:line="360" w:lineRule="auto"/>
        <w:ind w:firstLine="480" w:firstLineChars="200"/>
        <w:outlineLvl w:val="0"/>
        <w:rPr>
          <w:rFonts w:ascii="黑体" w:eastAsia="黑体"/>
          <w:sz w:val="24"/>
        </w:rPr>
      </w:pPr>
      <w:r>
        <w:rPr>
          <w:rFonts w:hint="eastAsia" w:ascii="黑体" w:eastAsia="黑体"/>
          <w:sz w:val="24"/>
        </w:rPr>
        <w:t>八、</w:t>
      </w:r>
      <w:r>
        <w:rPr>
          <w:rFonts w:hint="eastAsia" w:ascii="黑体" w:hAnsi="黑体" w:eastAsia="黑体"/>
          <w:sz w:val="24"/>
        </w:rPr>
        <w:t>作为推荐性标准或者强制性标准的建议及其理由。</w:t>
      </w:r>
    </w:p>
    <w:p>
      <w:pPr>
        <w:pStyle w:val="4"/>
        <w:spacing w:line="360" w:lineRule="auto"/>
        <w:ind w:firstLine="480"/>
        <w:rPr>
          <w:rFonts w:eastAsia="仿宋_GB2312"/>
          <w:bCs/>
          <w:sz w:val="24"/>
          <w:szCs w:val="24"/>
        </w:rPr>
      </w:pPr>
      <w:r>
        <w:rPr>
          <w:rFonts w:eastAsia="仿宋_GB2312"/>
          <w:bCs/>
          <w:sz w:val="24"/>
          <w:szCs w:val="24"/>
        </w:rPr>
        <w:t>建议本标准为推荐性标准。</w:t>
      </w:r>
    </w:p>
    <w:p>
      <w:pPr>
        <w:pStyle w:val="4"/>
        <w:spacing w:line="360" w:lineRule="auto"/>
        <w:ind w:firstLine="480"/>
        <w:rPr>
          <w:rFonts w:eastAsia="仿宋_GB2312"/>
          <w:bCs/>
          <w:sz w:val="24"/>
          <w:szCs w:val="24"/>
        </w:rPr>
      </w:pPr>
      <w:r>
        <w:rPr>
          <w:rFonts w:hint="eastAsia" w:eastAsia="仿宋_GB2312"/>
          <w:bCs/>
          <w:sz w:val="24"/>
          <w:szCs w:val="24"/>
        </w:rPr>
        <w:t>本文件旨在规范大白菜杂交种生产过程的各项内容及操作要求，实现规范化、标准化、科学化的良种生产，具有技术属性，而无法规属性，不需强制执行，因此建议作为推荐性标准。</w:t>
      </w:r>
    </w:p>
    <w:p>
      <w:pPr>
        <w:spacing w:line="360" w:lineRule="auto"/>
        <w:ind w:firstLine="480" w:firstLineChars="200"/>
        <w:outlineLvl w:val="0"/>
        <w:rPr>
          <w:rFonts w:ascii="黑体" w:eastAsia="黑体"/>
          <w:sz w:val="24"/>
        </w:rPr>
      </w:pPr>
      <w:r>
        <w:rPr>
          <w:rFonts w:hint="eastAsia" w:ascii="黑体" w:eastAsia="黑体"/>
          <w:sz w:val="24"/>
        </w:rPr>
        <w:t>九</w:t>
      </w:r>
      <w:r>
        <w:rPr>
          <w:rFonts w:ascii="黑体" w:eastAsia="黑体"/>
          <w:sz w:val="24"/>
        </w:rPr>
        <w:t>、</w:t>
      </w:r>
      <w:r>
        <w:rPr>
          <w:rFonts w:hint="eastAsia" w:ascii="黑体" w:eastAsia="黑体"/>
          <w:sz w:val="24"/>
        </w:rPr>
        <w:t>实施</w:t>
      </w:r>
      <w:r>
        <w:rPr>
          <w:rFonts w:ascii="黑体" w:eastAsia="黑体"/>
          <w:sz w:val="24"/>
        </w:rPr>
        <w:t>标准的措施建议</w:t>
      </w:r>
    </w:p>
    <w:p>
      <w:pPr>
        <w:pStyle w:val="4"/>
        <w:spacing w:line="360" w:lineRule="auto"/>
        <w:ind w:firstLine="480"/>
        <w:rPr>
          <w:rFonts w:eastAsia="仿宋_GB2312"/>
          <w:bCs/>
          <w:sz w:val="24"/>
          <w:szCs w:val="24"/>
        </w:rPr>
      </w:pPr>
      <w:r>
        <w:rPr>
          <w:rFonts w:hint="eastAsia" w:eastAsia="仿宋_GB2312"/>
          <w:bCs/>
          <w:sz w:val="24"/>
          <w:szCs w:val="24"/>
        </w:rPr>
        <w:t>1、山西省农业主管部门可以政府文件形式在相关区域的行政主管部门、基层推广部门进行宣传推广。</w:t>
      </w:r>
    </w:p>
    <w:p>
      <w:pPr>
        <w:pStyle w:val="4"/>
        <w:spacing w:line="360" w:lineRule="auto"/>
        <w:ind w:firstLine="480"/>
        <w:rPr>
          <w:rFonts w:eastAsia="仿宋_GB2312"/>
          <w:bCs/>
          <w:sz w:val="24"/>
          <w:szCs w:val="24"/>
        </w:rPr>
      </w:pPr>
      <w:r>
        <w:rPr>
          <w:rFonts w:hint="eastAsia" w:eastAsia="仿宋_GB2312"/>
          <w:bCs/>
          <w:sz w:val="24"/>
          <w:szCs w:val="24"/>
        </w:rPr>
        <w:t>2、标准起草单位可通过电视、广播、网络、报刊等媒体进行大力宣传。</w:t>
      </w:r>
    </w:p>
    <w:p>
      <w:pPr>
        <w:pStyle w:val="4"/>
        <w:spacing w:line="360" w:lineRule="auto"/>
        <w:ind w:firstLine="480"/>
        <w:rPr>
          <w:rFonts w:eastAsia="仿宋_GB2312"/>
          <w:bCs/>
          <w:sz w:val="24"/>
          <w:szCs w:val="24"/>
        </w:rPr>
      </w:pPr>
      <w:r>
        <w:rPr>
          <w:rFonts w:hint="eastAsia" w:eastAsia="仿宋_GB2312"/>
          <w:bCs/>
          <w:sz w:val="24"/>
          <w:szCs w:val="24"/>
        </w:rPr>
        <w:t>3、标准起草单位通过相关项目实施和资金支持，建立示范推广基地，在标准示范过程中以现场会、培训会、实地指导、发放技术手册等形式，经当地农业农村局、农村专业技术合作社等平台对农户进行宣传、培训，使尽快了解、熟悉、掌握标准的内容和要求，并能按照标准进行生产，保障本文件的实施。</w:t>
      </w:r>
    </w:p>
    <w:p>
      <w:pPr>
        <w:pStyle w:val="4"/>
        <w:spacing w:line="360" w:lineRule="auto"/>
        <w:ind w:firstLine="480"/>
        <w:rPr>
          <w:rFonts w:eastAsia="仿宋_GB2312"/>
          <w:bCs/>
          <w:sz w:val="24"/>
          <w:szCs w:val="24"/>
        </w:rPr>
        <w:sectPr>
          <w:footerReference r:id="rId3" w:type="default"/>
          <w:pgSz w:w="11906" w:h="16838"/>
          <w:pgMar w:top="1440" w:right="1803" w:bottom="1440" w:left="1803" w:header="851" w:footer="992" w:gutter="0"/>
          <w:pgNumType w:start="1"/>
          <w:cols w:space="0" w:num="1"/>
          <w:titlePg/>
          <w:docGrid w:type="lines" w:linePitch="319" w:charSpace="0"/>
        </w:sectPr>
      </w:pPr>
    </w:p>
    <w:p>
      <w:pPr>
        <w:spacing w:line="360" w:lineRule="auto"/>
        <w:ind w:firstLine="480" w:firstLineChars="200"/>
        <w:jc w:val="left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附表</w:t>
      </w:r>
    </w:p>
    <w:p>
      <w:pPr>
        <w:jc w:val="center"/>
        <w:rPr>
          <w:rFonts w:ascii="仿宋_GB2312" w:hAnsi="宋体" w:eastAsia="仿宋_GB2312"/>
          <w:sz w:val="24"/>
        </w:rPr>
      </w:pPr>
      <w:r>
        <w:rPr>
          <w:rFonts w:hint="eastAsia" w:eastAsia="仿宋_GB2312"/>
          <w:bCs/>
          <w:sz w:val="24"/>
        </w:rPr>
        <w:t>《</w:t>
      </w:r>
      <w:r>
        <w:rPr>
          <w:rFonts w:hint="eastAsia" w:ascii="仿宋_GB2312" w:hAnsi="宋体" w:eastAsia="仿宋_GB2312"/>
          <w:sz w:val="24"/>
        </w:rPr>
        <w:t>大白菜制种技术规程</w:t>
      </w:r>
      <w:r>
        <w:rPr>
          <w:rFonts w:hint="eastAsia" w:eastAsia="仿宋_GB2312"/>
          <w:bCs/>
          <w:sz w:val="24"/>
        </w:rPr>
        <w:t>》</w:t>
      </w:r>
      <w:r>
        <w:rPr>
          <w:rFonts w:hint="eastAsia" w:ascii="仿宋_GB2312" w:hAnsi="宋体" w:eastAsia="仿宋_GB2312"/>
          <w:sz w:val="24"/>
        </w:rPr>
        <w:t>地方标准征求意见汇总处理表</w:t>
      </w:r>
    </w:p>
    <w:p>
      <w:pPr>
        <w:snapToGrid w:val="0"/>
        <w:spacing w:line="360" w:lineRule="auto"/>
        <w:rPr>
          <w:rFonts w:ascii="仿宋_GB2312" w:hAnsi="宋体" w:eastAsia="仿宋_GB2312"/>
          <w:sz w:val="24"/>
        </w:rPr>
      </w:pPr>
    </w:p>
    <w:p>
      <w:pPr>
        <w:snapToGrid w:val="0"/>
        <w:spacing w:line="360" w:lineRule="auto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起草单位：山西农业大学，山西省园艺产业发展中心</w:t>
      </w:r>
    </w:p>
    <w:p>
      <w:pPr>
        <w:snapToGrid w:val="0"/>
        <w:spacing w:line="360" w:lineRule="auto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 xml:space="preserve">承办人：齐仙惠               联系电话：13546370287                 填写时间：2024年 1月 13日 </w:t>
      </w:r>
    </w:p>
    <w:tbl>
      <w:tblPr>
        <w:tblStyle w:val="12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1445"/>
        <w:gridCol w:w="4678"/>
        <w:gridCol w:w="2551"/>
        <w:gridCol w:w="2126"/>
        <w:gridCol w:w="23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0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序号</w:t>
            </w:r>
          </w:p>
        </w:tc>
        <w:tc>
          <w:tcPr>
            <w:tcW w:w="1445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标准</w:t>
            </w: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章条编号</w:t>
            </w:r>
          </w:p>
        </w:tc>
        <w:tc>
          <w:tcPr>
            <w:tcW w:w="4678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意见内容</w:t>
            </w:r>
          </w:p>
        </w:tc>
        <w:tc>
          <w:tcPr>
            <w:tcW w:w="2551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提出单位（或个人）</w:t>
            </w:r>
          </w:p>
        </w:tc>
        <w:tc>
          <w:tcPr>
            <w:tcW w:w="2126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处理意见</w:t>
            </w: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（采纳/不采纳）</w:t>
            </w:r>
          </w:p>
        </w:tc>
        <w:tc>
          <w:tcPr>
            <w:tcW w:w="2390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意见处理说明</w:t>
            </w: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（不采纳理由等）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540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</w:t>
            </w:r>
          </w:p>
        </w:tc>
        <w:tc>
          <w:tcPr>
            <w:tcW w:w="1445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7.2</w:t>
            </w:r>
          </w:p>
        </w:tc>
        <w:tc>
          <w:tcPr>
            <w:tcW w:w="4678" w:type="dxa"/>
            <w:noWrap/>
            <w:vAlign w:val="center"/>
          </w:tcPr>
          <w:p>
            <w:pPr>
              <w:pStyle w:val="28"/>
              <w:ind w:firstLine="480"/>
              <w:rPr>
                <w:rFonts w:ascii="仿宋_GB2312" w:eastAsia="仿宋_GB2312"/>
                <w:bCs/>
                <w:kern w:val="2"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kern w:val="2"/>
                <w:sz w:val="24"/>
                <w:szCs w:val="24"/>
              </w:rPr>
              <w:t>“种苗标准”改为“壮苗标准”，并细化内容。</w:t>
            </w:r>
          </w:p>
        </w:tc>
        <w:tc>
          <w:tcPr>
            <w:tcW w:w="2551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  <w:highlight w:val="yellow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山西省种业发展中心</w:t>
            </w:r>
          </w:p>
        </w:tc>
        <w:tc>
          <w:tcPr>
            <w:tcW w:w="2126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采纳</w:t>
            </w:r>
          </w:p>
        </w:tc>
        <w:tc>
          <w:tcPr>
            <w:tcW w:w="2390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已修改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540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2</w:t>
            </w:r>
          </w:p>
        </w:tc>
        <w:tc>
          <w:tcPr>
            <w:tcW w:w="1445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8.4，8.5</w:t>
            </w:r>
          </w:p>
        </w:tc>
        <w:tc>
          <w:tcPr>
            <w:tcW w:w="4678" w:type="dxa"/>
            <w:noWrap/>
            <w:vAlign w:val="center"/>
          </w:tcPr>
          <w:p>
            <w:pPr>
              <w:ind w:firstLine="480" w:firstLineChars="200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“花期不遇的调节”及“雄性不育系制种”的拔除父本，可与“授粉”合并。</w:t>
            </w:r>
          </w:p>
        </w:tc>
        <w:tc>
          <w:tcPr>
            <w:tcW w:w="2551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山西省种业发展中心</w:t>
            </w:r>
          </w:p>
        </w:tc>
        <w:tc>
          <w:tcPr>
            <w:tcW w:w="2126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采纳</w:t>
            </w:r>
          </w:p>
        </w:tc>
        <w:tc>
          <w:tcPr>
            <w:tcW w:w="2390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已修改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540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3</w:t>
            </w:r>
          </w:p>
        </w:tc>
        <w:tc>
          <w:tcPr>
            <w:tcW w:w="1445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7.2</w:t>
            </w:r>
          </w:p>
        </w:tc>
        <w:tc>
          <w:tcPr>
            <w:tcW w:w="4678" w:type="dxa"/>
            <w:noWrap/>
            <w:vAlign w:val="center"/>
          </w:tcPr>
          <w:p>
            <w:pPr>
              <w:ind w:firstLine="480" w:firstLineChars="200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“种苗标准”放在“育苗”一章。</w:t>
            </w:r>
          </w:p>
        </w:tc>
        <w:tc>
          <w:tcPr>
            <w:tcW w:w="2551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山西省蔬菜产业</w:t>
            </w:r>
          </w:p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技术体系</w:t>
            </w:r>
          </w:p>
        </w:tc>
        <w:tc>
          <w:tcPr>
            <w:tcW w:w="2126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采纳</w:t>
            </w:r>
          </w:p>
        </w:tc>
        <w:tc>
          <w:tcPr>
            <w:tcW w:w="2390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已修改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540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4</w:t>
            </w:r>
          </w:p>
        </w:tc>
        <w:tc>
          <w:tcPr>
            <w:tcW w:w="1445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8.1，8.2</w:t>
            </w:r>
          </w:p>
        </w:tc>
        <w:tc>
          <w:tcPr>
            <w:tcW w:w="4678" w:type="dxa"/>
            <w:noWrap/>
            <w:vAlign w:val="center"/>
          </w:tcPr>
          <w:p>
            <w:pPr>
              <w:ind w:firstLine="480" w:firstLineChars="200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“浇水”“施肥”的二级条目可合并表述。</w:t>
            </w:r>
          </w:p>
        </w:tc>
        <w:tc>
          <w:tcPr>
            <w:tcW w:w="2551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山西省蔬菜产业</w:t>
            </w:r>
          </w:p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技术体系</w:t>
            </w:r>
          </w:p>
        </w:tc>
        <w:tc>
          <w:tcPr>
            <w:tcW w:w="2126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采纳</w:t>
            </w:r>
          </w:p>
        </w:tc>
        <w:tc>
          <w:tcPr>
            <w:tcW w:w="2390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已修改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540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5</w:t>
            </w:r>
          </w:p>
        </w:tc>
        <w:tc>
          <w:tcPr>
            <w:tcW w:w="1445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全文</w:t>
            </w:r>
          </w:p>
        </w:tc>
        <w:tc>
          <w:tcPr>
            <w:tcW w:w="4678" w:type="dxa"/>
            <w:noWrap/>
            <w:vAlign w:val="center"/>
          </w:tcPr>
          <w:p>
            <w:pPr>
              <w:pStyle w:val="28"/>
              <w:ind w:firstLine="480"/>
              <w:rPr>
                <w:rFonts w:ascii="仿宋_GB2312" w:eastAsia="仿宋_GB2312"/>
                <w:bCs/>
                <w:kern w:val="2"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规范部分标准化用语。</w:t>
            </w:r>
          </w:p>
        </w:tc>
        <w:tc>
          <w:tcPr>
            <w:tcW w:w="2551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山西省蔬菜产业</w:t>
            </w:r>
          </w:p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技术体系</w:t>
            </w:r>
          </w:p>
        </w:tc>
        <w:tc>
          <w:tcPr>
            <w:tcW w:w="2126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采纳</w:t>
            </w:r>
          </w:p>
        </w:tc>
        <w:tc>
          <w:tcPr>
            <w:tcW w:w="2390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已修改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540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6</w:t>
            </w:r>
          </w:p>
        </w:tc>
        <w:tc>
          <w:tcPr>
            <w:tcW w:w="1445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附录A</w:t>
            </w:r>
          </w:p>
        </w:tc>
        <w:tc>
          <w:tcPr>
            <w:tcW w:w="4678" w:type="dxa"/>
            <w:noWrap/>
            <w:vAlign w:val="center"/>
          </w:tcPr>
          <w:p>
            <w:pPr>
              <w:ind w:firstLine="480" w:firstLineChars="200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啶虫脒的稀释倍数太低，药液浓度过大。建议修改。</w:t>
            </w:r>
          </w:p>
        </w:tc>
        <w:tc>
          <w:tcPr>
            <w:tcW w:w="2551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山西农业大学</w:t>
            </w:r>
          </w:p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植物保护学院</w:t>
            </w:r>
          </w:p>
        </w:tc>
        <w:tc>
          <w:tcPr>
            <w:tcW w:w="2126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采纳</w:t>
            </w:r>
          </w:p>
        </w:tc>
        <w:tc>
          <w:tcPr>
            <w:tcW w:w="2390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已修改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540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7</w:t>
            </w:r>
          </w:p>
        </w:tc>
        <w:tc>
          <w:tcPr>
            <w:tcW w:w="1445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附录A</w:t>
            </w:r>
          </w:p>
        </w:tc>
        <w:tc>
          <w:tcPr>
            <w:tcW w:w="4678" w:type="dxa"/>
            <w:noWrap/>
            <w:vAlign w:val="center"/>
          </w:tcPr>
          <w:p>
            <w:pPr>
              <w:ind w:firstLine="480" w:firstLineChars="200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建议将辛硫磷更换为其他药剂。辛硫磷一般用于土壤处理，喷雾时不推荐使用。</w:t>
            </w:r>
          </w:p>
        </w:tc>
        <w:tc>
          <w:tcPr>
            <w:tcW w:w="2551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山西农业大学</w:t>
            </w:r>
          </w:p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植物保护学院</w:t>
            </w:r>
          </w:p>
        </w:tc>
        <w:tc>
          <w:tcPr>
            <w:tcW w:w="2126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采纳</w:t>
            </w:r>
          </w:p>
        </w:tc>
        <w:tc>
          <w:tcPr>
            <w:tcW w:w="2390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已修改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4" w:hRule="atLeast"/>
        </w:trPr>
        <w:tc>
          <w:tcPr>
            <w:tcW w:w="540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8</w:t>
            </w:r>
          </w:p>
        </w:tc>
        <w:tc>
          <w:tcPr>
            <w:tcW w:w="1445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附录A</w:t>
            </w:r>
          </w:p>
        </w:tc>
        <w:tc>
          <w:tcPr>
            <w:tcW w:w="4678" w:type="dxa"/>
            <w:noWrap/>
            <w:vAlign w:val="center"/>
          </w:tcPr>
          <w:p>
            <w:pPr>
              <w:ind w:firstLine="480" w:firstLineChars="200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虫害防治中，建议将药剂剂型调整为水基性药剂，大量使用乳油剂型药剂，对环境和大白菜毒性较高。</w:t>
            </w:r>
          </w:p>
        </w:tc>
        <w:tc>
          <w:tcPr>
            <w:tcW w:w="2551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山西农业大学</w:t>
            </w:r>
          </w:p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植物保护学院</w:t>
            </w:r>
          </w:p>
        </w:tc>
        <w:tc>
          <w:tcPr>
            <w:tcW w:w="2126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采纳</w:t>
            </w:r>
          </w:p>
        </w:tc>
        <w:tc>
          <w:tcPr>
            <w:tcW w:w="2390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已修改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7" w:hRule="atLeast"/>
        </w:trPr>
        <w:tc>
          <w:tcPr>
            <w:tcW w:w="540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9</w:t>
            </w:r>
          </w:p>
        </w:tc>
        <w:tc>
          <w:tcPr>
            <w:tcW w:w="1445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附录A</w:t>
            </w:r>
          </w:p>
        </w:tc>
        <w:tc>
          <w:tcPr>
            <w:tcW w:w="4678" w:type="dxa"/>
            <w:noWrap/>
            <w:vAlign w:val="center"/>
          </w:tcPr>
          <w:p>
            <w:pPr>
              <w:ind w:firstLine="480" w:firstLineChars="200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建议将72%硫酸链霉素可湿性粉剂改为可溶性粉剂，因该药剂的可溶性粉剂是市场上的主推剂型，性能更高、更安全。同时，建议将其稀释倍数进行调整。</w:t>
            </w:r>
          </w:p>
        </w:tc>
        <w:tc>
          <w:tcPr>
            <w:tcW w:w="2551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山西农业大学</w:t>
            </w:r>
          </w:p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植物保护学院</w:t>
            </w:r>
          </w:p>
        </w:tc>
        <w:tc>
          <w:tcPr>
            <w:tcW w:w="2126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采纳</w:t>
            </w:r>
          </w:p>
        </w:tc>
        <w:tc>
          <w:tcPr>
            <w:tcW w:w="2390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已修改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540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10</w:t>
            </w:r>
          </w:p>
        </w:tc>
        <w:tc>
          <w:tcPr>
            <w:tcW w:w="1445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7.1</w:t>
            </w:r>
          </w:p>
        </w:tc>
        <w:tc>
          <w:tcPr>
            <w:tcW w:w="4678" w:type="dxa"/>
            <w:noWrap/>
            <w:vAlign w:val="center"/>
          </w:tcPr>
          <w:p>
            <w:pPr>
              <w:ind w:firstLine="480" w:firstLineChars="200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标明复合肥的含量和成分。</w:t>
            </w:r>
          </w:p>
        </w:tc>
        <w:tc>
          <w:tcPr>
            <w:tcW w:w="2551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山西科萌种业</w:t>
            </w:r>
          </w:p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有限公司</w:t>
            </w:r>
          </w:p>
        </w:tc>
        <w:tc>
          <w:tcPr>
            <w:tcW w:w="2126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采纳</w:t>
            </w:r>
          </w:p>
        </w:tc>
        <w:tc>
          <w:tcPr>
            <w:tcW w:w="2390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已修改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exact"/>
        </w:trPr>
        <w:tc>
          <w:tcPr>
            <w:tcW w:w="540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11</w:t>
            </w:r>
          </w:p>
        </w:tc>
        <w:tc>
          <w:tcPr>
            <w:tcW w:w="1445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全文</w:t>
            </w:r>
          </w:p>
        </w:tc>
        <w:tc>
          <w:tcPr>
            <w:tcW w:w="4678" w:type="dxa"/>
            <w:noWrap/>
            <w:vAlign w:val="center"/>
          </w:tcPr>
          <w:p>
            <w:pPr>
              <w:ind w:firstLine="480" w:firstLineChars="200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给出机械的具体名称，便于选择和购买。</w:t>
            </w:r>
          </w:p>
        </w:tc>
        <w:tc>
          <w:tcPr>
            <w:tcW w:w="2551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山西科萌种业</w:t>
            </w:r>
          </w:p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有限公司</w:t>
            </w:r>
          </w:p>
        </w:tc>
        <w:tc>
          <w:tcPr>
            <w:tcW w:w="2126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采纳</w:t>
            </w:r>
          </w:p>
        </w:tc>
        <w:tc>
          <w:tcPr>
            <w:tcW w:w="2390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已修改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exact"/>
        </w:trPr>
        <w:tc>
          <w:tcPr>
            <w:tcW w:w="540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12</w:t>
            </w:r>
          </w:p>
        </w:tc>
        <w:tc>
          <w:tcPr>
            <w:tcW w:w="1445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6.1</w:t>
            </w:r>
          </w:p>
        </w:tc>
        <w:tc>
          <w:tcPr>
            <w:tcW w:w="4678" w:type="dxa"/>
            <w:noWrap/>
            <w:vAlign w:val="center"/>
          </w:tcPr>
          <w:p>
            <w:pPr>
              <w:pStyle w:val="28"/>
              <w:ind w:firstLine="480"/>
              <w:rPr>
                <w:rFonts w:ascii="仿宋_GB2312" w:eastAsia="仿宋_GB2312"/>
                <w:bCs/>
                <w:kern w:val="2"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kern w:val="2"/>
                <w:sz w:val="24"/>
                <w:szCs w:val="24"/>
              </w:rPr>
              <w:t>写出详细的“播种时间”。</w:t>
            </w:r>
          </w:p>
        </w:tc>
        <w:tc>
          <w:tcPr>
            <w:tcW w:w="2551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寿阳县绿发种植</w:t>
            </w:r>
          </w:p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专业合作社</w:t>
            </w:r>
          </w:p>
        </w:tc>
        <w:tc>
          <w:tcPr>
            <w:tcW w:w="2126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采纳</w:t>
            </w:r>
          </w:p>
        </w:tc>
        <w:tc>
          <w:tcPr>
            <w:tcW w:w="2390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已修改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exact"/>
        </w:trPr>
        <w:tc>
          <w:tcPr>
            <w:tcW w:w="540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13</w:t>
            </w:r>
          </w:p>
        </w:tc>
        <w:tc>
          <w:tcPr>
            <w:tcW w:w="1445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7.1</w:t>
            </w:r>
          </w:p>
        </w:tc>
        <w:tc>
          <w:tcPr>
            <w:tcW w:w="4678" w:type="dxa"/>
            <w:noWrap/>
            <w:vAlign w:val="center"/>
          </w:tcPr>
          <w:p>
            <w:pPr>
              <w:ind w:firstLine="480" w:firstLineChars="200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补充整地细节，如垄高和垄间距。</w:t>
            </w:r>
          </w:p>
        </w:tc>
        <w:tc>
          <w:tcPr>
            <w:tcW w:w="2551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寿阳县绿发种植</w:t>
            </w:r>
          </w:p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专业合作社</w:t>
            </w:r>
          </w:p>
        </w:tc>
        <w:tc>
          <w:tcPr>
            <w:tcW w:w="2126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采纳</w:t>
            </w:r>
          </w:p>
        </w:tc>
        <w:tc>
          <w:tcPr>
            <w:tcW w:w="2390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已修改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0" w:hRule="exact"/>
        </w:trPr>
        <w:tc>
          <w:tcPr>
            <w:tcW w:w="13730" w:type="dxa"/>
            <w:gridSpan w:val="6"/>
            <w:noWrap/>
            <w:vAlign w:val="center"/>
          </w:tcPr>
          <w:p>
            <w:pPr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Style w:val="33"/>
                <w:rFonts w:hint="default" w:ascii="仿宋_GB2312" w:hAnsi="Times New Roman" w:eastAsia="仿宋_GB2312"/>
                <w:sz w:val="24"/>
                <w:szCs w:val="24"/>
              </w:rPr>
              <w:t>说明：</w:t>
            </w:r>
            <w:r>
              <w:rPr>
                <w:rStyle w:val="34"/>
                <w:rFonts w:hint="eastAsia" w:ascii="仿宋_GB2312" w:hAnsi="Times New Roman" w:eastAsia="仿宋_GB2312" w:cs="Times New Roman"/>
                <w:sz w:val="24"/>
                <w:szCs w:val="24"/>
              </w:rPr>
              <w:t>1</w:t>
            </w:r>
            <w:r>
              <w:rPr>
                <w:rStyle w:val="33"/>
                <w:rFonts w:hint="default" w:ascii="仿宋_GB2312" w:hAnsi="Times New Roman" w:eastAsia="仿宋_GB2312"/>
                <w:sz w:val="24"/>
                <w:szCs w:val="24"/>
              </w:rPr>
              <w:t>、针对明确回复无意见的单位，请在“意见内容”中注明无意见，在“提出单位”中列出无意见单位的名称。</w:t>
            </w:r>
          </w:p>
          <w:p>
            <w:pPr>
              <w:ind w:firstLine="720" w:firstLineChars="300"/>
              <w:rPr>
                <w:rFonts w:ascii="仿宋_GB2312" w:eastAsia="仿宋_GB2312"/>
                <w:sz w:val="24"/>
              </w:rPr>
            </w:pPr>
            <w:r>
              <w:rPr>
                <w:rStyle w:val="34"/>
                <w:rFonts w:hint="eastAsia" w:ascii="仿宋_GB2312" w:hAnsi="Times New Roman" w:eastAsia="仿宋_GB2312" w:cs="Times New Roman"/>
                <w:sz w:val="24"/>
                <w:szCs w:val="24"/>
              </w:rPr>
              <w:t>2</w:t>
            </w:r>
            <w:r>
              <w:rPr>
                <w:rStyle w:val="33"/>
                <w:rFonts w:hint="default" w:ascii="仿宋_GB2312" w:hAnsi="Times New Roman" w:eastAsia="仿宋_GB2312"/>
                <w:sz w:val="24"/>
                <w:szCs w:val="24"/>
              </w:rPr>
              <w:t>、发送征求意见稿单位数</w:t>
            </w:r>
            <w:r>
              <w:rPr>
                <w:rStyle w:val="33"/>
                <w:rFonts w:hint="default" w:ascii="仿宋_GB2312" w:hAnsi="Times New Roman" w:eastAsia="仿宋_GB2312"/>
                <w:sz w:val="24"/>
                <w:szCs w:val="24"/>
                <w:u w:val="single"/>
              </w:rPr>
              <w:t xml:space="preserve"> 5 </w:t>
            </w:r>
            <w:r>
              <w:rPr>
                <w:rStyle w:val="33"/>
                <w:rFonts w:hint="default" w:ascii="仿宋_GB2312" w:hAnsi="Times New Roman" w:eastAsia="仿宋_GB2312"/>
                <w:sz w:val="24"/>
                <w:szCs w:val="24"/>
              </w:rPr>
              <w:t>个；回到征求意见稿回函的单位数</w:t>
            </w:r>
            <w:r>
              <w:rPr>
                <w:rStyle w:val="33"/>
                <w:rFonts w:hint="default" w:ascii="仿宋_GB2312" w:hAnsi="Times New Roman" w:eastAsia="仿宋_GB2312"/>
                <w:sz w:val="24"/>
                <w:szCs w:val="24"/>
                <w:u w:val="single"/>
              </w:rPr>
              <w:t xml:space="preserve"> 5 </w:t>
            </w:r>
            <w:r>
              <w:rPr>
                <w:rStyle w:val="33"/>
                <w:rFonts w:hint="default" w:ascii="仿宋_GB2312" w:hAnsi="Times New Roman" w:eastAsia="仿宋_GB2312"/>
                <w:sz w:val="24"/>
                <w:szCs w:val="24"/>
              </w:rPr>
              <w:t>个；收到征求意见稿并提出意见的单位数</w:t>
            </w:r>
            <w:r>
              <w:rPr>
                <w:rStyle w:val="33"/>
                <w:rFonts w:hint="default" w:ascii="仿宋_GB2312" w:hAnsi="Times New Roman" w:eastAsia="仿宋_GB2312"/>
                <w:sz w:val="24"/>
                <w:szCs w:val="24"/>
                <w:u w:val="single"/>
              </w:rPr>
              <w:t xml:space="preserve"> 5 </w:t>
            </w:r>
            <w:r>
              <w:rPr>
                <w:rStyle w:val="33"/>
                <w:rFonts w:hint="default" w:ascii="仿宋_GB2312" w:hAnsi="Times New Roman" w:eastAsia="仿宋_GB2312"/>
                <w:sz w:val="24"/>
                <w:szCs w:val="24"/>
              </w:rPr>
              <w:t>个；没有回函的单位数</w:t>
            </w:r>
            <w:r>
              <w:rPr>
                <w:rStyle w:val="33"/>
                <w:rFonts w:hint="default" w:ascii="仿宋_GB2312" w:hAnsi="Times New Roman" w:eastAsia="仿宋_GB2312"/>
                <w:sz w:val="24"/>
                <w:szCs w:val="24"/>
                <w:u w:val="single"/>
              </w:rPr>
              <w:t xml:space="preserve"> 0 </w:t>
            </w:r>
            <w:r>
              <w:rPr>
                <w:rStyle w:val="33"/>
                <w:rFonts w:hint="default" w:ascii="仿宋_GB2312" w:hAnsi="Times New Roman" w:eastAsia="仿宋_GB2312"/>
                <w:sz w:val="24"/>
                <w:szCs w:val="24"/>
              </w:rPr>
              <w:t>个；共收到</w:t>
            </w:r>
            <w:r>
              <w:rPr>
                <w:rStyle w:val="33"/>
                <w:rFonts w:hint="default" w:ascii="仿宋_GB2312" w:hAnsi="Times New Roman" w:eastAsia="仿宋_GB2312"/>
                <w:sz w:val="24"/>
                <w:szCs w:val="24"/>
                <w:u w:val="single"/>
              </w:rPr>
              <w:t xml:space="preserve"> 13 </w:t>
            </w:r>
            <w:r>
              <w:rPr>
                <w:rStyle w:val="33"/>
                <w:rFonts w:hint="default" w:ascii="仿宋_GB2312" w:hAnsi="Times New Roman" w:eastAsia="仿宋_GB2312"/>
                <w:sz w:val="24"/>
                <w:szCs w:val="24"/>
              </w:rPr>
              <w:t>条意见，采纳</w:t>
            </w:r>
            <w:r>
              <w:rPr>
                <w:rStyle w:val="33"/>
                <w:rFonts w:hint="default" w:ascii="仿宋_GB2312" w:hAnsi="Times New Roman" w:eastAsia="仿宋_GB2312"/>
                <w:sz w:val="24"/>
                <w:szCs w:val="24"/>
                <w:u w:val="single"/>
              </w:rPr>
              <w:t xml:space="preserve"> 13 </w:t>
            </w:r>
            <w:r>
              <w:rPr>
                <w:rStyle w:val="33"/>
                <w:rFonts w:hint="default" w:ascii="仿宋_GB2312" w:hAnsi="Times New Roman" w:eastAsia="仿宋_GB2312"/>
                <w:sz w:val="24"/>
                <w:szCs w:val="24"/>
              </w:rPr>
              <w:t>条意见，部分采纳</w:t>
            </w:r>
            <w:r>
              <w:rPr>
                <w:rStyle w:val="33"/>
                <w:rFonts w:hint="default" w:ascii="仿宋_GB2312" w:hAnsi="Times New Roman" w:eastAsia="仿宋_GB2312"/>
                <w:sz w:val="24"/>
                <w:szCs w:val="24"/>
                <w:u w:val="single"/>
              </w:rPr>
              <w:t xml:space="preserve"> 0 </w:t>
            </w:r>
            <w:r>
              <w:rPr>
                <w:rStyle w:val="33"/>
                <w:rFonts w:hint="default" w:ascii="仿宋_GB2312" w:hAnsi="Times New Roman" w:eastAsia="仿宋_GB2312"/>
                <w:sz w:val="24"/>
                <w:szCs w:val="24"/>
              </w:rPr>
              <w:t>条意见，未采纳</w:t>
            </w:r>
            <w:r>
              <w:rPr>
                <w:rStyle w:val="33"/>
                <w:rFonts w:hint="default" w:ascii="仿宋_GB2312" w:hAnsi="Times New Roman" w:eastAsia="仿宋_GB2312"/>
                <w:sz w:val="24"/>
                <w:szCs w:val="24"/>
                <w:u w:val="single"/>
              </w:rPr>
              <w:t xml:space="preserve"> 0 </w:t>
            </w:r>
            <w:r>
              <w:rPr>
                <w:rStyle w:val="33"/>
                <w:rFonts w:hint="default" w:ascii="仿宋_GB2312" w:hAnsi="Times New Roman" w:eastAsia="仿宋_GB2312"/>
                <w:sz w:val="24"/>
                <w:szCs w:val="24"/>
              </w:rPr>
              <w:t>条意见。</w:t>
            </w:r>
          </w:p>
        </w:tc>
      </w:tr>
    </w:tbl>
    <w:p>
      <w:pPr>
        <w:snapToGrid w:val="0"/>
        <w:spacing w:line="360" w:lineRule="auto"/>
        <w:rPr>
          <w:rFonts w:eastAsia="仿宋"/>
          <w:sz w:val="24"/>
        </w:rPr>
      </w:pPr>
    </w:p>
    <w:sectPr>
      <w:pgSz w:w="16838" w:h="11906" w:orient="landscape"/>
      <w:pgMar w:top="1803" w:right="1440" w:bottom="1803" w:left="1440" w:header="851" w:footer="992" w:gutter="0"/>
      <w:pgNumType w:start="1"/>
      <w:cols w:space="0" w:num="1"/>
      <w:titlePg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Mangal">
    <w:altName w:val="文泉驿微米黑"/>
    <w:panose1 w:val="00000400000000000000"/>
    <w:charset w:val="01"/>
    <w:family w:val="roman"/>
    <w:pitch w:val="default"/>
    <w:sig w:usb0="00000000" w:usb1="00000000" w:usb2="00000000" w:usb3="00000000" w:csb0="0000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_GB2312">
    <w:altName w:val="方正楷体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altName w:val="方正楷体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文泉驿微米黑">
    <w:panose1 w:val="020B0606030804020204"/>
    <w:charset w:val="86"/>
    <w:family w:val="auto"/>
    <w:pitch w:val="default"/>
    <w:sig w:usb0="E10002EF" w:usb1="6BDFFCFB" w:usb2="00800036" w:usb3="00000000" w:csb0="603E01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4</w:t>
    </w:r>
    <w:r>
      <w:fldChar w:fldCharType="end"/>
    </w:r>
  </w:p>
  <w:p>
    <w:pPr>
      <w:pStyle w:val="9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EB30D03"/>
    <w:multiLevelType w:val="singleLevel"/>
    <w:tmpl w:val="EEB30D03"/>
    <w:lvl w:ilvl="0" w:tentative="0">
      <w:start w:val="6"/>
      <w:numFmt w:val="decimal"/>
      <w:suff w:val="nothing"/>
      <w:lvlText w:val="%1、"/>
      <w:lvlJc w:val="left"/>
    </w:lvl>
  </w:abstractNum>
  <w:abstractNum w:abstractNumId="1">
    <w:nsid w:val="1FC91163"/>
    <w:multiLevelType w:val="multilevel"/>
    <w:tmpl w:val="1FC91163"/>
    <w:lvl w:ilvl="0" w:tentative="0">
      <w:start w:val="1"/>
      <w:numFmt w:val="decimal"/>
      <w:suff w:val="nothing"/>
      <w:lvlText w:val="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  <w:szCs w:val="21"/>
      </w:rPr>
    </w:lvl>
    <w:lvl w:ilvl="1" w:tentative="0">
      <w:start w:val="1"/>
      <w:numFmt w:val="decimal"/>
      <w:pStyle w:val="30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trike w:val="0"/>
        <w:dstrike w:val="0"/>
        <w:vanish w:val="0"/>
        <w:spacing w:val="0"/>
        <w:kern w:val="0"/>
        <w:position w:val="0"/>
        <w:sz w:val="21"/>
        <w:szCs w:val="21"/>
        <w:u w:val="none"/>
        <w:vertAlign w:val="baseline"/>
      </w:rPr>
    </w:lvl>
    <w:lvl w:ilvl="2" w:tentative="0">
      <w:start w:val="1"/>
      <w:numFmt w:val="decimal"/>
      <w:pStyle w:val="31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2">
    <w:nsid w:val="60B55DC2"/>
    <w:multiLevelType w:val="multilevel"/>
    <w:tmpl w:val="60B55DC2"/>
    <w:lvl w:ilvl="0" w:tentative="0">
      <w:start w:val="1"/>
      <w:numFmt w:val="upperLetter"/>
      <w:lvlText w:val="%1"/>
      <w:lvlJc w:val="left"/>
      <w:pPr>
        <w:tabs>
          <w:tab w:val="left" w:pos="0"/>
        </w:tabs>
        <w:ind w:left="0" w:hanging="425"/>
      </w:pPr>
      <w:rPr>
        <w:rFonts w:hint="eastAsia"/>
      </w:rPr>
    </w:lvl>
    <w:lvl w:ilvl="1" w:tentative="0">
      <w:start w:val="1"/>
      <w:numFmt w:val="decimal"/>
      <w:pStyle w:val="32"/>
      <w:suff w:val="nothing"/>
      <w:lvlText w:val="表%1.%2　"/>
      <w:lvlJc w:val="left"/>
      <w:pPr>
        <w:ind w:left="567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993"/>
        </w:tabs>
        <w:ind w:left="993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2291"/>
        </w:tabs>
        <w:ind w:left="1559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076"/>
        </w:tabs>
        <w:ind w:left="2126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861"/>
        </w:tabs>
        <w:ind w:left="2835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4646"/>
        </w:tabs>
        <w:ind w:left="3402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543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217"/>
        </w:tabs>
        <w:ind w:left="4677" w:hanging="1700"/>
      </w:pPr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NotTrackMoves/>
  <w:documentProtection w:enforcement="0"/>
  <w:defaultTabStop w:val="420"/>
  <w:drawingGridHorizontalSpacing w:val="105"/>
  <w:drawingGridVerticalSpacing w:val="159"/>
  <w:displayVerticalDrawingGridEvery w:val="2"/>
  <w:noPunctuationKerning w:val="true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underlineTabInNumList/>
    <w:compatSetting w:name="compatibilityMode" w:uri="http://schemas.microsoft.com/office/word" w:val="12"/>
  </w:compat>
  <w:docVars>
    <w:docVar w:name="commondata" w:val="eyJoZGlkIjoiMjI4YzIxM2MxZGU2OGFmNmY5NzBhNDkyYTViNjQ4OWIifQ=="/>
  </w:docVars>
  <w:rsids>
    <w:rsidRoot w:val="00636FC5"/>
    <w:rsid w:val="00001C9C"/>
    <w:rsid w:val="00002121"/>
    <w:rsid w:val="00003D4E"/>
    <w:rsid w:val="0001430A"/>
    <w:rsid w:val="000173E8"/>
    <w:rsid w:val="000203B7"/>
    <w:rsid w:val="00021FC1"/>
    <w:rsid w:val="00024D73"/>
    <w:rsid w:val="00025BA5"/>
    <w:rsid w:val="00035FEB"/>
    <w:rsid w:val="000432D0"/>
    <w:rsid w:val="000443C0"/>
    <w:rsid w:val="00045395"/>
    <w:rsid w:val="00045C4C"/>
    <w:rsid w:val="000471FB"/>
    <w:rsid w:val="00051B0A"/>
    <w:rsid w:val="00054BA0"/>
    <w:rsid w:val="00061514"/>
    <w:rsid w:val="00073F3B"/>
    <w:rsid w:val="000754B9"/>
    <w:rsid w:val="00080D84"/>
    <w:rsid w:val="00087B70"/>
    <w:rsid w:val="0009360F"/>
    <w:rsid w:val="0009699A"/>
    <w:rsid w:val="000974DE"/>
    <w:rsid w:val="000A23F9"/>
    <w:rsid w:val="000A281F"/>
    <w:rsid w:val="000B59DE"/>
    <w:rsid w:val="000C1548"/>
    <w:rsid w:val="000C203B"/>
    <w:rsid w:val="000C24FA"/>
    <w:rsid w:val="000C2F16"/>
    <w:rsid w:val="000C3919"/>
    <w:rsid w:val="000C5AE1"/>
    <w:rsid w:val="000C62FE"/>
    <w:rsid w:val="000D7E22"/>
    <w:rsid w:val="000E0029"/>
    <w:rsid w:val="000E0518"/>
    <w:rsid w:val="000E5DDF"/>
    <w:rsid w:val="00104D9E"/>
    <w:rsid w:val="001079E4"/>
    <w:rsid w:val="00114B28"/>
    <w:rsid w:val="00115FFC"/>
    <w:rsid w:val="0012004D"/>
    <w:rsid w:val="00136B80"/>
    <w:rsid w:val="00140883"/>
    <w:rsid w:val="001422D2"/>
    <w:rsid w:val="00142DCA"/>
    <w:rsid w:val="001451F2"/>
    <w:rsid w:val="00153E55"/>
    <w:rsid w:val="00155235"/>
    <w:rsid w:val="0016381F"/>
    <w:rsid w:val="00164E4D"/>
    <w:rsid w:val="0016534D"/>
    <w:rsid w:val="001653E3"/>
    <w:rsid w:val="001657F4"/>
    <w:rsid w:val="00184DC2"/>
    <w:rsid w:val="00195264"/>
    <w:rsid w:val="001A0041"/>
    <w:rsid w:val="001A0916"/>
    <w:rsid w:val="001C0311"/>
    <w:rsid w:val="001C1B81"/>
    <w:rsid w:val="001C2BE8"/>
    <w:rsid w:val="001C3ACE"/>
    <w:rsid w:val="001D06C4"/>
    <w:rsid w:val="001D0957"/>
    <w:rsid w:val="001D7128"/>
    <w:rsid w:val="001E486F"/>
    <w:rsid w:val="001F695E"/>
    <w:rsid w:val="001F7C13"/>
    <w:rsid w:val="001F7CF9"/>
    <w:rsid w:val="0020132D"/>
    <w:rsid w:val="002042E4"/>
    <w:rsid w:val="00211530"/>
    <w:rsid w:val="00213570"/>
    <w:rsid w:val="00217A11"/>
    <w:rsid w:val="002216A8"/>
    <w:rsid w:val="00226A9A"/>
    <w:rsid w:val="00226FD3"/>
    <w:rsid w:val="00227FEE"/>
    <w:rsid w:val="00230DF6"/>
    <w:rsid w:val="00233658"/>
    <w:rsid w:val="00233B76"/>
    <w:rsid w:val="00243164"/>
    <w:rsid w:val="00243B8F"/>
    <w:rsid w:val="00243DA6"/>
    <w:rsid w:val="00243E19"/>
    <w:rsid w:val="00247BC6"/>
    <w:rsid w:val="002508ED"/>
    <w:rsid w:val="00252DE5"/>
    <w:rsid w:val="002606D8"/>
    <w:rsid w:val="00261187"/>
    <w:rsid w:val="00267EEC"/>
    <w:rsid w:val="00270C24"/>
    <w:rsid w:val="00273B1D"/>
    <w:rsid w:val="002746DC"/>
    <w:rsid w:val="00277378"/>
    <w:rsid w:val="00277EC1"/>
    <w:rsid w:val="00285233"/>
    <w:rsid w:val="0028564F"/>
    <w:rsid w:val="00285ABA"/>
    <w:rsid w:val="002A2658"/>
    <w:rsid w:val="002B52FE"/>
    <w:rsid w:val="002B6A3E"/>
    <w:rsid w:val="002B7335"/>
    <w:rsid w:val="002C169F"/>
    <w:rsid w:val="002C3C6B"/>
    <w:rsid w:val="002D3E11"/>
    <w:rsid w:val="002D5321"/>
    <w:rsid w:val="002E04E6"/>
    <w:rsid w:val="002E5A2F"/>
    <w:rsid w:val="003024F7"/>
    <w:rsid w:val="00304E3C"/>
    <w:rsid w:val="0031028C"/>
    <w:rsid w:val="003132AD"/>
    <w:rsid w:val="00313F64"/>
    <w:rsid w:val="003150DE"/>
    <w:rsid w:val="00315657"/>
    <w:rsid w:val="003158E5"/>
    <w:rsid w:val="003221E9"/>
    <w:rsid w:val="003259EC"/>
    <w:rsid w:val="00330396"/>
    <w:rsid w:val="003311E6"/>
    <w:rsid w:val="00332318"/>
    <w:rsid w:val="0033472D"/>
    <w:rsid w:val="00336488"/>
    <w:rsid w:val="00342A32"/>
    <w:rsid w:val="003439A2"/>
    <w:rsid w:val="00344D61"/>
    <w:rsid w:val="003469EC"/>
    <w:rsid w:val="00347085"/>
    <w:rsid w:val="003509C0"/>
    <w:rsid w:val="00353A98"/>
    <w:rsid w:val="003556E4"/>
    <w:rsid w:val="0036351B"/>
    <w:rsid w:val="00366032"/>
    <w:rsid w:val="003705E8"/>
    <w:rsid w:val="00371543"/>
    <w:rsid w:val="003716D4"/>
    <w:rsid w:val="003925B2"/>
    <w:rsid w:val="00394B25"/>
    <w:rsid w:val="0039560A"/>
    <w:rsid w:val="003A21FE"/>
    <w:rsid w:val="003A5C65"/>
    <w:rsid w:val="003B0DE6"/>
    <w:rsid w:val="003B17F4"/>
    <w:rsid w:val="003B1D77"/>
    <w:rsid w:val="003B7D6F"/>
    <w:rsid w:val="003C21DA"/>
    <w:rsid w:val="003C3911"/>
    <w:rsid w:val="003D3463"/>
    <w:rsid w:val="003D528A"/>
    <w:rsid w:val="003D6374"/>
    <w:rsid w:val="003D6FB0"/>
    <w:rsid w:val="003E0207"/>
    <w:rsid w:val="003E24D6"/>
    <w:rsid w:val="003E2D3A"/>
    <w:rsid w:val="003F035B"/>
    <w:rsid w:val="003F1FC6"/>
    <w:rsid w:val="003F3EBE"/>
    <w:rsid w:val="00402952"/>
    <w:rsid w:val="004047A2"/>
    <w:rsid w:val="00404C7A"/>
    <w:rsid w:val="00407C56"/>
    <w:rsid w:val="00410C0E"/>
    <w:rsid w:val="00420EB4"/>
    <w:rsid w:val="004240E3"/>
    <w:rsid w:val="00424798"/>
    <w:rsid w:val="00433525"/>
    <w:rsid w:val="00435EF8"/>
    <w:rsid w:val="00441A8F"/>
    <w:rsid w:val="00441B8A"/>
    <w:rsid w:val="0044501D"/>
    <w:rsid w:val="004450AB"/>
    <w:rsid w:val="00451A7E"/>
    <w:rsid w:val="004547E0"/>
    <w:rsid w:val="00461F43"/>
    <w:rsid w:val="0046480C"/>
    <w:rsid w:val="004770BA"/>
    <w:rsid w:val="0048050F"/>
    <w:rsid w:val="00485AB3"/>
    <w:rsid w:val="0049020D"/>
    <w:rsid w:val="004943B6"/>
    <w:rsid w:val="00494F67"/>
    <w:rsid w:val="00495DCD"/>
    <w:rsid w:val="004A0CC0"/>
    <w:rsid w:val="004A2295"/>
    <w:rsid w:val="004A6D81"/>
    <w:rsid w:val="004A7E24"/>
    <w:rsid w:val="004B7966"/>
    <w:rsid w:val="004B7B8C"/>
    <w:rsid w:val="004D4066"/>
    <w:rsid w:val="004D62AF"/>
    <w:rsid w:val="004E42DA"/>
    <w:rsid w:val="004E45D5"/>
    <w:rsid w:val="004E531D"/>
    <w:rsid w:val="004E5AFA"/>
    <w:rsid w:val="004F10CE"/>
    <w:rsid w:val="004F4490"/>
    <w:rsid w:val="004F4EF5"/>
    <w:rsid w:val="004F6A63"/>
    <w:rsid w:val="00504A7B"/>
    <w:rsid w:val="0050538B"/>
    <w:rsid w:val="005119FA"/>
    <w:rsid w:val="00513F60"/>
    <w:rsid w:val="005165DC"/>
    <w:rsid w:val="005314F2"/>
    <w:rsid w:val="00532EC9"/>
    <w:rsid w:val="0053409C"/>
    <w:rsid w:val="0053513E"/>
    <w:rsid w:val="005354BE"/>
    <w:rsid w:val="00535FC3"/>
    <w:rsid w:val="00536728"/>
    <w:rsid w:val="0056323B"/>
    <w:rsid w:val="00573771"/>
    <w:rsid w:val="00580184"/>
    <w:rsid w:val="005811F3"/>
    <w:rsid w:val="00582DEA"/>
    <w:rsid w:val="0058589E"/>
    <w:rsid w:val="0059142D"/>
    <w:rsid w:val="005915E3"/>
    <w:rsid w:val="00597C60"/>
    <w:rsid w:val="005A0ED2"/>
    <w:rsid w:val="005A3C89"/>
    <w:rsid w:val="005A42A5"/>
    <w:rsid w:val="005B07C8"/>
    <w:rsid w:val="005B1473"/>
    <w:rsid w:val="005B4A6F"/>
    <w:rsid w:val="005B7CA6"/>
    <w:rsid w:val="005C1F9E"/>
    <w:rsid w:val="005C5816"/>
    <w:rsid w:val="005D4F2B"/>
    <w:rsid w:val="005E0E08"/>
    <w:rsid w:val="005E5E7B"/>
    <w:rsid w:val="005F020B"/>
    <w:rsid w:val="005F3B9E"/>
    <w:rsid w:val="005F3DB9"/>
    <w:rsid w:val="005F5D65"/>
    <w:rsid w:val="005F6189"/>
    <w:rsid w:val="005F76FB"/>
    <w:rsid w:val="00604181"/>
    <w:rsid w:val="00604E2D"/>
    <w:rsid w:val="0060567D"/>
    <w:rsid w:val="00611A58"/>
    <w:rsid w:val="00614AA4"/>
    <w:rsid w:val="00616FC1"/>
    <w:rsid w:val="00620469"/>
    <w:rsid w:val="006206EA"/>
    <w:rsid w:val="0063154F"/>
    <w:rsid w:val="00633B19"/>
    <w:rsid w:val="00633EF1"/>
    <w:rsid w:val="00636FC5"/>
    <w:rsid w:val="006400BA"/>
    <w:rsid w:val="00641B9A"/>
    <w:rsid w:val="006423BB"/>
    <w:rsid w:val="00642628"/>
    <w:rsid w:val="006467CA"/>
    <w:rsid w:val="006500A2"/>
    <w:rsid w:val="0066172F"/>
    <w:rsid w:val="00662AD1"/>
    <w:rsid w:val="00663745"/>
    <w:rsid w:val="00670B31"/>
    <w:rsid w:val="006756E6"/>
    <w:rsid w:val="0068404D"/>
    <w:rsid w:val="00691427"/>
    <w:rsid w:val="006915F6"/>
    <w:rsid w:val="006918FB"/>
    <w:rsid w:val="00693173"/>
    <w:rsid w:val="0069777F"/>
    <w:rsid w:val="006A4784"/>
    <w:rsid w:val="006A5225"/>
    <w:rsid w:val="006A7107"/>
    <w:rsid w:val="006B04CC"/>
    <w:rsid w:val="006B3E2E"/>
    <w:rsid w:val="006C06AB"/>
    <w:rsid w:val="006C472E"/>
    <w:rsid w:val="006C7054"/>
    <w:rsid w:val="006D0FBE"/>
    <w:rsid w:val="006D1116"/>
    <w:rsid w:val="006E02DD"/>
    <w:rsid w:val="006E1129"/>
    <w:rsid w:val="006E2CBB"/>
    <w:rsid w:val="006E4B96"/>
    <w:rsid w:val="00702811"/>
    <w:rsid w:val="00706BC0"/>
    <w:rsid w:val="00712E10"/>
    <w:rsid w:val="007138B0"/>
    <w:rsid w:val="00713D54"/>
    <w:rsid w:val="00715399"/>
    <w:rsid w:val="00720C80"/>
    <w:rsid w:val="007230A0"/>
    <w:rsid w:val="0072360B"/>
    <w:rsid w:val="0072435E"/>
    <w:rsid w:val="007249D5"/>
    <w:rsid w:val="00730F68"/>
    <w:rsid w:val="007332EC"/>
    <w:rsid w:val="00734037"/>
    <w:rsid w:val="0074190C"/>
    <w:rsid w:val="00755C73"/>
    <w:rsid w:val="00757A64"/>
    <w:rsid w:val="00760C71"/>
    <w:rsid w:val="00763867"/>
    <w:rsid w:val="00767B97"/>
    <w:rsid w:val="0077176C"/>
    <w:rsid w:val="00772C34"/>
    <w:rsid w:val="00773A15"/>
    <w:rsid w:val="007743EC"/>
    <w:rsid w:val="00776852"/>
    <w:rsid w:val="00776D66"/>
    <w:rsid w:val="00777B27"/>
    <w:rsid w:val="00791BB3"/>
    <w:rsid w:val="0079399E"/>
    <w:rsid w:val="00795AB4"/>
    <w:rsid w:val="007975E1"/>
    <w:rsid w:val="007A65A0"/>
    <w:rsid w:val="007B0D2E"/>
    <w:rsid w:val="007B2777"/>
    <w:rsid w:val="007B2968"/>
    <w:rsid w:val="007C39F2"/>
    <w:rsid w:val="007C3AD6"/>
    <w:rsid w:val="007C3D18"/>
    <w:rsid w:val="007D08C1"/>
    <w:rsid w:val="007D31A8"/>
    <w:rsid w:val="007E6D31"/>
    <w:rsid w:val="00800843"/>
    <w:rsid w:val="008024F2"/>
    <w:rsid w:val="00807629"/>
    <w:rsid w:val="008125DA"/>
    <w:rsid w:val="00817229"/>
    <w:rsid w:val="00820DFB"/>
    <w:rsid w:val="00821F58"/>
    <w:rsid w:val="008263E7"/>
    <w:rsid w:val="008306CD"/>
    <w:rsid w:val="00840427"/>
    <w:rsid w:val="008449F5"/>
    <w:rsid w:val="0084546C"/>
    <w:rsid w:val="008471EC"/>
    <w:rsid w:val="008519FE"/>
    <w:rsid w:val="00856ECE"/>
    <w:rsid w:val="00862581"/>
    <w:rsid w:val="00863825"/>
    <w:rsid w:val="008729C9"/>
    <w:rsid w:val="00874B45"/>
    <w:rsid w:val="00880EC6"/>
    <w:rsid w:val="00884A91"/>
    <w:rsid w:val="008935DA"/>
    <w:rsid w:val="008A1B81"/>
    <w:rsid w:val="008A36A4"/>
    <w:rsid w:val="008A699E"/>
    <w:rsid w:val="008A6D37"/>
    <w:rsid w:val="008B3CFA"/>
    <w:rsid w:val="008B7F7F"/>
    <w:rsid w:val="008C1D81"/>
    <w:rsid w:val="008C4583"/>
    <w:rsid w:val="008E256F"/>
    <w:rsid w:val="008E454E"/>
    <w:rsid w:val="008F1AAD"/>
    <w:rsid w:val="008F5288"/>
    <w:rsid w:val="00907F2F"/>
    <w:rsid w:val="0091113A"/>
    <w:rsid w:val="00915F25"/>
    <w:rsid w:val="009166F0"/>
    <w:rsid w:val="00916E3B"/>
    <w:rsid w:val="00920385"/>
    <w:rsid w:val="009211BD"/>
    <w:rsid w:val="0092160B"/>
    <w:rsid w:val="0092627B"/>
    <w:rsid w:val="00934199"/>
    <w:rsid w:val="009358E1"/>
    <w:rsid w:val="00936A6B"/>
    <w:rsid w:val="00953792"/>
    <w:rsid w:val="009705E2"/>
    <w:rsid w:val="00975940"/>
    <w:rsid w:val="00976B92"/>
    <w:rsid w:val="0098254B"/>
    <w:rsid w:val="00983D55"/>
    <w:rsid w:val="0098417D"/>
    <w:rsid w:val="009875C5"/>
    <w:rsid w:val="00991DF6"/>
    <w:rsid w:val="0099572B"/>
    <w:rsid w:val="00996196"/>
    <w:rsid w:val="0099787D"/>
    <w:rsid w:val="009A2FA1"/>
    <w:rsid w:val="009B4E35"/>
    <w:rsid w:val="009C3329"/>
    <w:rsid w:val="009C52D6"/>
    <w:rsid w:val="009C558A"/>
    <w:rsid w:val="009C596B"/>
    <w:rsid w:val="009C5E73"/>
    <w:rsid w:val="009D1F00"/>
    <w:rsid w:val="009D5C90"/>
    <w:rsid w:val="009F1169"/>
    <w:rsid w:val="009F39E8"/>
    <w:rsid w:val="009F75FD"/>
    <w:rsid w:val="00A2176F"/>
    <w:rsid w:val="00A25526"/>
    <w:rsid w:val="00A30ABC"/>
    <w:rsid w:val="00A31F81"/>
    <w:rsid w:val="00A37819"/>
    <w:rsid w:val="00A4435A"/>
    <w:rsid w:val="00A4451F"/>
    <w:rsid w:val="00A46A80"/>
    <w:rsid w:val="00A52D3C"/>
    <w:rsid w:val="00A53139"/>
    <w:rsid w:val="00A53AA5"/>
    <w:rsid w:val="00A62ED4"/>
    <w:rsid w:val="00A6637E"/>
    <w:rsid w:val="00A73148"/>
    <w:rsid w:val="00A743A3"/>
    <w:rsid w:val="00A74F2B"/>
    <w:rsid w:val="00A775B1"/>
    <w:rsid w:val="00A8184F"/>
    <w:rsid w:val="00A90B3A"/>
    <w:rsid w:val="00A935E8"/>
    <w:rsid w:val="00A9450A"/>
    <w:rsid w:val="00A9569D"/>
    <w:rsid w:val="00A96C7F"/>
    <w:rsid w:val="00AA538B"/>
    <w:rsid w:val="00AA685C"/>
    <w:rsid w:val="00AA70A7"/>
    <w:rsid w:val="00AB297F"/>
    <w:rsid w:val="00AB4A9B"/>
    <w:rsid w:val="00AC0AF2"/>
    <w:rsid w:val="00AC2568"/>
    <w:rsid w:val="00AC7446"/>
    <w:rsid w:val="00AD10B8"/>
    <w:rsid w:val="00AD6B94"/>
    <w:rsid w:val="00AE3FAF"/>
    <w:rsid w:val="00AF0D1C"/>
    <w:rsid w:val="00AF58B6"/>
    <w:rsid w:val="00B01F81"/>
    <w:rsid w:val="00B03A6D"/>
    <w:rsid w:val="00B04CAD"/>
    <w:rsid w:val="00B04FD0"/>
    <w:rsid w:val="00B071E5"/>
    <w:rsid w:val="00B104BD"/>
    <w:rsid w:val="00B1146C"/>
    <w:rsid w:val="00B130AF"/>
    <w:rsid w:val="00B22B39"/>
    <w:rsid w:val="00B24ED8"/>
    <w:rsid w:val="00B271DE"/>
    <w:rsid w:val="00B27F8A"/>
    <w:rsid w:val="00B3317B"/>
    <w:rsid w:val="00B36550"/>
    <w:rsid w:val="00B43960"/>
    <w:rsid w:val="00B503CA"/>
    <w:rsid w:val="00B56043"/>
    <w:rsid w:val="00B678A8"/>
    <w:rsid w:val="00B67E1C"/>
    <w:rsid w:val="00B767B8"/>
    <w:rsid w:val="00B77A1D"/>
    <w:rsid w:val="00B80ADA"/>
    <w:rsid w:val="00B8370A"/>
    <w:rsid w:val="00B85CE2"/>
    <w:rsid w:val="00B877F0"/>
    <w:rsid w:val="00B93351"/>
    <w:rsid w:val="00B95E63"/>
    <w:rsid w:val="00B96E91"/>
    <w:rsid w:val="00BA2CDB"/>
    <w:rsid w:val="00BA3C87"/>
    <w:rsid w:val="00BA595B"/>
    <w:rsid w:val="00BA7A98"/>
    <w:rsid w:val="00BB1509"/>
    <w:rsid w:val="00BB6BC4"/>
    <w:rsid w:val="00BC5FAC"/>
    <w:rsid w:val="00BD5606"/>
    <w:rsid w:val="00BD732A"/>
    <w:rsid w:val="00BE2554"/>
    <w:rsid w:val="00BE3B52"/>
    <w:rsid w:val="00BE465C"/>
    <w:rsid w:val="00C0419D"/>
    <w:rsid w:val="00C05123"/>
    <w:rsid w:val="00C06C73"/>
    <w:rsid w:val="00C15323"/>
    <w:rsid w:val="00C2133A"/>
    <w:rsid w:val="00C3286F"/>
    <w:rsid w:val="00C3299F"/>
    <w:rsid w:val="00C33013"/>
    <w:rsid w:val="00C43949"/>
    <w:rsid w:val="00C459D1"/>
    <w:rsid w:val="00C505BD"/>
    <w:rsid w:val="00C561D9"/>
    <w:rsid w:val="00C665D4"/>
    <w:rsid w:val="00C7245E"/>
    <w:rsid w:val="00C76C16"/>
    <w:rsid w:val="00C77D84"/>
    <w:rsid w:val="00C815C4"/>
    <w:rsid w:val="00C84B6C"/>
    <w:rsid w:val="00C93AC5"/>
    <w:rsid w:val="00CA0F6E"/>
    <w:rsid w:val="00CA1614"/>
    <w:rsid w:val="00CA54AC"/>
    <w:rsid w:val="00CA55A9"/>
    <w:rsid w:val="00CA746E"/>
    <w:rsid w:val="00CA7B78"/>
    <w:rsid w:val="00CB117C"/>
    <w:rsid w:val="00CC297A"/>
    <w:rsid w:val="00CC3B0C"/>
    <w:rsid w:val="00CD687E"/>
    <w:rsid w:val="00CD6BB6"/>
    <w:rsid w:val="00CE3B64"/>
    <w:rsid w:val="00CE4E91"/>
    <w:rsid w:val="00CE7C77"/>
    <w:rsid w:val="00CF763D"/>
    <w:rsid w:val="00D002E5"/>
    <w:rsid w:val="00D020CC"/>
    <w:rsid w:val="00D042CB"/>
    <w:rsid w:val="00D10633"/>
    <w:rsid w:val="00D10DC3"/>
    <w:rsid w:val="00D211A9"/>
    <w:rsid w:val="00D259BF"/>
    <w:rsid w:val="00D26281"/>
    <w:rsid w:val="00D27F7C"/>
    <w:rsid w:val="00D45C7E"/>
    <w:rsid w:val="00D45EC1"/>
    <w:rsid w:val="00D46020"/>
    <w:rsid w:val="00D56B74"/>
    <w:rsid w:val="00D57A84"/>
    <w:rsid w:val="00D665A9"/>
    <w:rsid w:val="00D72C03"/>
    <w:rsid w:val="00D81CD3"/>
    <w:rsid w:val="00D9062C"/>
    <w:rsid w:val="00D91C3A"/>
    <w:rsid w:val="00D93605"/>
    <w:rsid w:val="00D9617E"/>
    <w:rsid w:val="00DB07A4"/>
    <w:rsid w:val="00DB0DAB"/>
    <w:rsid w:val="00DB2837"/>
    <w:rsid w:val="00DB2A2A"/>
    <w:rsid w:val="00DB2D8F"/>
    <w:rsid w:val="00DB4B2E"/>
    <w:rsid w:val="00DB6514"/>
    <w:rsid w:val="00DB6A89"/>
    <w:rsid w:val="00DC266B"/>
    <w:rsid w:val="00DC4130"/>
    <w:rsid w:val="00DD18A1"/>
    <w:rsid w:val="00DD4471"/>
    <w:rsid w:val="00DE552D"/>
    <w:rsid w:val="00DE5BA8"/>
    <w:rsid w:val="00DE7291"/>
    <w:rsid w:val="00DE73B5"/>
    <w:rsid w:val="00DE7809"/>
    <w:rsid w:val="00DF4B68"/>
    <w:rsid w:val="00E05868"/>
    <w:rsid w:val="00E06ACE"/>
    <w:rsid w:val="00E07594"/>
    <w:rsid w:val="00E11D5F"/>
    <w:rsid w:val="00E15C5B"/>
    <w:rsid w:val="00E23F76"/>
    <w:rsid w:val="00E275CE"/>
    <w:rsid w:val="00E41C96"/>
    <w:rsid w:val="00E42650"/>
    <w:rsid w:val="00E4682B"/>
    <w:rsid w:val="00E47699"/>
    <w:rsid w:val="00E628B1"/>
    <w:rsid w:val="00E71D53"/>
    <w:rsid w:val="00E722BD"/>
    <w:rsid w:val="00E830F6"/>
    <w:rsid w:val="00E87347"/>
    <w:rsid w:val="00E90FC4"/>
    <w:rsid w:val="00E945B0"/>
    <w:rsid w:val="00E94AFD"/>
    <w:rsid w:val="00E957AE"/>
    <w:rsid w:val="00EA6262"/>
    <w:rsid w:val="00EB4480"/>
    <w:rsid w:val="00EB6465"/>
    <w:rsid w:val="00EC6DE8"/>
    <w:rsid w:val="00ED6677"/>
    <w:rsid w:val="00EE6530"/>
    <w:rsid w:val="00F00E80"/>
    <w:rsid w:val="00F0713A"/>
    <w:rsid w:val="00F11018"/>
    <w:rsid w:val="00F15AF4"/>
    <w:rsid w:val="00F16E22"/>
    <w:rsid w:val="00F17C71"/>
    <w:rsid w:val="00F27339"/>
    <w:rsid w:val="00F37D20"/>
    <w:rsid w:val="00F42342"/>
    <w:rsid w:val="00F44A09"/>
    <w:rsid w:val="00F52378"/>
    <w:rsid w:val="00F54888"/>
    <w:rsid w:val="00F57262"/>
    <w:rsid w:val="00F61A51"/>
    <w:rsid w:val="00F6407D"/>
    <w:rsid w:val="00F64FBB"/>
    <w:rsid w:val="00F67F81"/>
    <w:rsid w:val="00F703AD"/>
    <w:rsid w:val="00F70EA3"/>
    <w:rsid w:val="00F73553"/>
    <w:rsid w:val="00F778B9"/>
    <w:rsid w:val="00F77E65"/>
    <w:rsid w:val="00F8226F"/>
    <w:rsid w:val="00F83543"/>
    <w:rsid w:val="00F8429C"/>
    <w:rsid w:val="00F84C53"/>
    <w:rsid w:val="00F907D1"/>
    <w:rsid w:val="00F926B8"/>
    <w:rsid w:val="00F9426F"/>
    <w:rsid w:val="00F95F55"/>
    <w:rsid w:val="00F9610E"/>
    <w:rsid w:val="00F968DC"/>
    <w:rsid w:val="00FA2E27"/>
    <w:rsid w:val="00FA4128"/>
    <w:rsid w:val="00FA6158"/>
    <w:rsid w:val="00FA63F4"/>
    <w:rsid w:val="00FB15E3"/>
    <w:rsid w:val="00FB79BD"/>
    <w:rsid w:val="00FC754C"/>
    <w:rsid w:val="00FD0304"/>
    <w:rsid w:val="00FD3927"/>
    <w:rsid w:val="00FD3CE4"/>
    <w:rsid w:val="00FD684B"/>
    <w:rsid w:val="28F307D3"/>
    <w:rsid w:val="3D25D500"/>
    <w:rsid w:val="3EEF98DD"/>
    <w:rsid w:val="3F9FD22F"/>
    <w:rsid w:val="470749E1"/>
    <w:rsid w:val="4F7B247E"/>
    <w:rsid w:val="57D94567"/>
    <w:rsid w:val="5CFF1606"/>
    <w:rsid w:val="5DFFCE9C"/>
    <w:rsid w:val="5FB81DCD"/>
    <w:rsid w:val="63BD8BA4"/>
    <w:rsid w:val="6BFEE3C0"/>
    <w:rsid w:val="6BFF0146"/>
    <w:rsid w:val="6EFD90F7"/>
    <w:rsid w:val="72DE18B7"/>
    <w:rsid w:val="7329008F"/>
    <w:rsid w:val="77C6AB6B"/>
    <w:rsid w:val="77FF4F98"/>
    <w:rsid w:val="79FF0142"/>
    <w:rsid w:val="7BFB120F"/>
    <w:rsid w:val="7C27F619"/>
    <w:rsid w:val="7F7F1836"/>
    <w:rsid w:val="7FDE9EE2"/>
    <w:rsid w:val="93EEA786"/>
    <w:rsid w:val="9CFB7DEA"/>
    <w:rsid w:val="ADAF1DB9"/>
    <w:rsid w:val="B5FF0B5B"/>
    <w:rsid w:val="B76B45F2"/>
    <w:rsid w:val="D5FE192F"/>
    <w:rsid w:val="DDDB2668"/>
    <w:rsid w:val="DFFB0938"/>
    <w:rsid w:val="EB7DFDD5"/>
    <w:rsid w:val="EC3D1978"/>
    <w:rsid w:val="FEFFD74D"/>
    <w:rsid w:val="FFFF8C4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 w:locked="1"/>
    <w:lsdException w:qFormat="1" w:unhideWhenUsed="0" w:uiPriority="99" w:semiHidden="0" w:name="heading 3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nhideWhenUsed="0" w:uiPriority="99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99"/>
    <w:pPr>
      <w:keepNext/>
      <w:keepLines/>
      <w:tabs>
        <w:tab w:val="left" w:pos="0"/>
      </w:tabs>
      <w:suppressAutoHyphens/>
      <w:spacing w:before="340" w:after="330" w:line="480" w:lineRule="auto"/>
      <w:ind w:left="432" w:hanging="432"/>
      <w:outlineLvl w:val="0"/>
    </w:pPr>
    <w:rPr>
      <w:b/>
      <w:bCs/>
      <w:kern w:val="1"/>
      <w:sz w:val="44"/>
      <w:szCs w:val="44"/>
      <w:lang w:eastAsia="ar-SA"/>
    </w:rPr>
  </w:style>
  <w:style w:type="paragraph" w:styleId="3">
    <w:name w:val="heading 3"/>
    <w:basedOn w:val="1"/>
    <w:next w:val="1"/>
    <w:link w:val="17"/>
    <w:qFormat/>
    <w:uiPriority w:val="99"/>
    <w:pPr>
      <w:keepNext/>
      <w:keepLines/>
      <w:tabs>
        <w:tab w:val="left" w:pos="0"/>
      </w:tabs>
      <w:suppressAutoHyphens/>
      <w:spacing w:before="260" w:after="260" w:line="412" w:lineRule="auto"/>
      <w:ind w:left="720" w:hanging="720"/>
      <w:outlineLvl w:val="2"/>
    </w:pPr>
    <w:rPr>
      <w:b/>
      <w:bCs/>
      <w:kern w:val="21"/>
      <w:sz w:val="32"/>
      <w:szCs w:val="32"/>
      <w:lang w:eastAsia="ar-SA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 w:firstLineChars="200"/>
    </w:pPr>
    <w:rPr>
      <w:szCs w:val="20"/>
    </w:rPr>
  </w:style>
  <w:style w:type="paragraph" w:styleId="5">
    <w:name w:val="caption"/>
    <w:basedOn w:val="1"/>
    <w:next w:val="1"/>
    <w:qFormat/>
    <w:uiPriority w:val="99"/>
    <w:pPr>
      <w:suppressLineNumbers/>
      <w:suppressAutoHyphens/>
      <w:spacing w:before="120" w:after="120"/>
    </w:pPr>
    <w:rPr>
      <w:rFonts w:cs="Mangal"/>
      <w:i/>
      <w:iCs/>
      <w:kern w:val="21"/>
      <w:sz w:val="24"/>
      <w:lang w:eastAsia="ar-SA"/>
    </w:rPr>
  </w:style>
  <w:style w:type="paragraph" w:styleId="6">
    <w:name w:val="Body Text"/>
    <w:basedOn w:val="1"/>
    <w:link w:val="27"/>
    <w:qFormat/>
    <w:uiPriority w:val="0"/>
    <w:pPr>
      <w:spacing w:after="120"/>
    </w:pPr>
  </w:style>
  <w:style w:type="paragraph" w:styleId="7">
    <w:name w:val="Date"/>
    <w:basedOn w:val="1"/>
    <w:next w:val="1"/>
    <w:link w:val="26"/>
    <w:semiHidden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3"/>
    <w:semiHidden/>
    <w:unhideWhenUsed/>
    <w:qFormat/>
    <w:uiPriority w:val="99"/>
    <w:rPr>
      <w:sz w:val="18"/>
      <w:szCs w:val="18"/>
    </w:rPr>
  </w:style>
  <w:style w:type="paragraph" w:styleId="9">
    <w:name w:val="footer"/>
    <w:basedOn w:val="1"/>
    <w:link w:val="2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2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HTML Preformatted"/>
    <w:basedOn w:val="1"/>
    <w:semiHidden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/>
      <w:kern w:val="0"/>
      <w:sz w:val="24"/>
    </w:rPr>
  </w:style>
  <w:style w:type="table" w:styleId="13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5">
    <w:name w:val="Strong"/>
    <w:qFormat/>
    <w:uiPriority w:val="99"/>
    <w:rPr>
      <w:rFonts w:cs="Times New Roman"/>
      <w:b/>
    </w:rPr>
  </w:style>
  <w:style w:type="character" w:customStyle="1" w:styleId="16">
    <w:name w:val="标题 1 Char"/>
    <w:link w:val="2"/>
    <w:qFormat/>
    <w:locked/>
    <w:uiPriority w:val="99"/>
    <w:rPr>
      <w:rFonts w:cs="Times New Roman"/>
      <w:b/>
      <w:kern w:val="1"/>
      <w:sz w:val="44"/>
      <w:lang w:eastAsia="ar-SA" w:bidi="ar-SA"/>
    </w:rPr>
  </w:style>
  <w:style w:type="character" w:customStyle="1" w:styleId="17">
    <w:name w:val="标题 3 Char"/>
    <w:link w:val="3"/>
    <w:qFormat/>
    <w:locked/>
    <w:uiPriority w:val="99"/>
    <w:rPr>
      <w:rFonts w:cs="Times New Roman"/>
      <w:b/>
      <w:kern w:val="21"/>
      <w:sz w:val="32"/>
      <w:lang w:eastAsia="ar-SA" w:bidi="ar-SA"/>
    </w:rPr>
  </w:style>
  <w:style w:type="paragraph" w:styleId="18">
    <w:name w:val="List Paragraph"/>
    <w:basedOn w:val="1"/>
    <w:qFormat/>
    <w:uiPriority w:val="99"/>
    <w:pPr>
      <w:suppressAutoHyphens/>
      <w:ind w:firstLine="420" w:firstLineChars="200"/>
    </w:pPr>
    <w:rPr>
      <w:kern w:val="21"/>
      <w:lang w:eastAsia="ar-SA"/>
    </w:rPr>
  </w:style>
  <w:style w:type="paragraph" w:customStyle="1" w:styleId="19">
    <w:name w:val="段"/>
    <w:link w:val="20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character" w:customStyle="1" w:styleId="20">
    <w:name w:val="段 Char"/>
    <w:link w:val="19"/>
    <w:qFormat/>
    <w:locked/>
    <w:uiPriority w:val="0"/>
    <w:rPr>
      <w:rFonts w:ascii="宋体" w:cs="Times New Roman"/>
      <w:sz w:val="21"/>
      <w:lang w:val="en-US" w:eastAsia="zh-CN" w:bidi="ar-SA"/>
    </w:rPr>
  </w:style>
  <w:style w:type="character" w:customStyle="1" w:styleId="21">
    <w:name w:val="页眉 Char"/>
    <w:link w:val="10"/>
    <w:qFormat/>
    <w:uiPriority w:val="99"/>
    <w:rPr>
      <w:sz w:val="18"/>
      <w:szCs w:val="18"/>
    </w:rPr>
  </w:style>
  <w:style w:type="character" w:customStyle="1" w:styleId="22">
    <w:name w:val="页脚 Char"/>
    <w:link w:val="9"/>
    <w:qFormat/>
    <w:uiPriority w:val="99"/>
    <w:rPr>
      <w:sz w:val="18"/>
      <w:szCs w:val="18"/>
    </w:rPr>
  </w:style>
  <w:style w:type="character" w:customStyle="1" w:styleId="23">
    <w:name w:val="批注框文本 Char"/>
    <w:link w:val="8"/>
    <w:semiHidden/>
    <w:qFormat/>
    <w:uiPriority w:val="99"/>
    <w:rPr>
      <w:kern w:val="2"/>
      <w:sz w:val="18"/>
      <w:szCs w:val="18"/>
    </w:rPr>
  </w:style>
  <w:style w:type="table" w:customStyle="1" w:styleId="24">
    <w:name w:val="浅色底纹1"/>
    <w:basedOn w:val="12"/>
    <w:qFormat/>
    <w:uiPriority w:val="60"/>
    <w:rPr>
      <w:color w:val="000000"/>
    </w:rPr>
    <w:tblPr>
      <w:tblBorders>
        <w:top w:val="single" w:color="000000" w:sz="8" w:space="0"/>
        <w:bottom w:val="single" w:color="000000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cPr>
        <w:tcBorders>
          <w:top w:val="single" w:color="000000" w:sz="8" w:space="0"/>
          <w:left w:val="nil"/>
          <w:bottom w:val="single" w:color="000000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single" w:color="000000" w:sz="8" w:space="0"/>
          <w:left w:val="nil"/>
          <w:bottom w:val="single" w:color="000000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25">
    <w:name w:val="浅色底纹2"/>
    <w:basedOn w:val="12"/>
    <w:qFormat/>
    <w:uiPriority w:val="60"/>
    <w:rPr>
      <w:color w:val="000000"/>
    </w:rPr>
    <w:tblPr>
      <w:tblBorders>
        <w:top w:val="single" w:color="000000" w:sz="8" w:space="0"/>
        <w:bottom w:val="single" w:color="000000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cPr>
        <w:tcBorders>
          <w:top w:val="single" w:color="000000" w:sz="8" w:space="0"/>
          <w:left w:val="nil"/>
          <w:bottom w:val="single" w:color="000000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single" w:color="000000" w:sz="8" w:space="0"/>
          <w:left w:val="nil"/>
          <w:bottom w:val="single" w:color="000000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customStyle="1" w:styleId="26">
    <w:name w:val="日期 Char"/>
    <w:basedOn w:val="14"/>
    <w:link w:val="7"/>
    <w:semiHidden/>
    <w:qFormat/>
    <w:uiPriority w:val="99"/>
    <w:rPr>
      <w:kern w:val="2"/>
      <w:sz w:val="21"/>
      <w:szCs w:val="24"/>
    </w:rPr>
  </w:style>
  <w:style w:type="character" w:customStyle="1" w:styleId="27">
    <w:name w:val="正文文本 Char"/>
    <w:basedOn w:val="14"/>
    <w:link w:val="6"/>
    <w:qFormat/>
    <w:uiPriority w:val="0"/>
    <w:rPr>
      <w:kern w:val="2"/>
      <w:sz w:val="21"/>
      <w:szCs w:val="24"/>
    </w:rPr>
  </w:style>
  <w:style w:type="paragraph" w:customStyle="1" w:styleId="28">
    <w:name w:val="标准文件_段"/>
    <w:link w:val="29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character" w:customStyle="1" w:styleId="29">
    <w:name w:val="标准文件_段 Char"/>
    <w:link w:val="28"/>
    <w:qFormat/>
    <w:uiPriority w:val="0"/>
    <w:rPr>
      <w:rFonts w:ascii="宋体"/>
      <w:sz w:val="21"/>
    </w:rPr>
  </w:style>
  <w:style w:type="paragraph" w:customStyle="1" w:styleId="30">
    <w:name w:val="一级条标题"/>
    <w:next w:val="19"/>
    <w:qFormat/>
    <w:uiPriority w:val="0"/>
    <w:pPr>
      <w:numPr>
        <w:ilvl w:val="1"/>
        <w:numId w:val="1"/>
      </w:numPr>
      <w:spacing w:beforeLines="50" w:afterLines="50"/>
      <w:outlineLvl w:val="2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31">
    <w:name w:val="二级条标题"/>
    <w:basedOn w:val="30"/>
    <w:next w:val="19"/>
    <w:qFormat/>
    <w:uiPriority w:val="0"/>
    <w:pPr>
      <w:numPr>
        <w:ilvl w:val="2"/>
      </w:numPr>
      <w:spacing w:before="50" w:after="50"/>
      <w:outlineLvl w:val="3"/>
    </w:pPr>
  </w:style>
  <w:style w:type="paragraph" w:customStyle="1" w:styleId="32">
    <w:name w:val="附录表标题"/>
    <w:basedOn w:val="1"/>
    <w:next w:val="19"/>
    <w:qFormat/>
    <w:uiPriority w:val="0"/>
    <w:pPr>
      <w:numPr>
        <w:ilvl w:val="1"/>
        <w:numId w:val="2"/>
      </w:numPr>
      <w:tabs>
        <w:tab w:val="left" w:pos="180"/>
      </w:tabs>
      <w:spacing w:beforeLines="50" w:afterLines="50"/>
      <w:ind w:left="0" w:firstLine="0"/>
      <w:jc w:val="center"/>
    </w:pPr>
    <w:rPr>
      <w:rFonts w:ascii="黑体" w:eastAsia="黑体"/>
      <w:szCs w:val="21"/>
    </w:rPr>
  </w:style>
  <w:style w:type="character" w:customStyle="1" w:styleId="33">
    <w:name w:val="fontstyle01"/>
    <w:basedOn w:val="14"/>
    <w:qFormat/>
    <w:uiPriority w:val="0"/>
    <w:rPr>
      <w:rFonts w:hint="eastAsia" w:ascii="黑体" w:hAnsi="黑体" w:eastAsia="黑体"/>
      <w:color w:val="000000"/>
      <w:sz w:val="22"/>
      <w:szCs w:val="22"/>
    </w:rPr>
  </w:style>
  <w:style w:type="character" w:customStyle="1" w:styleId="34">
    <w:name w:val="fontstyle21"/>
    <w:basedOn w:val="14"/>
    <w:qFormat/>
    <w:uiPriority w:val="0"/>
    <w:rPr>
      <w:rFonts w:hint="default" w:ascii="Calibri" w:hAnsi="Calibri" w:cs="Calibri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9</Pages>
  <Words>4736</Words>
  <Characters>5016</Characters>
  <Lines>38</Lines>
  <Paragraphs>10</Paragraphs>
  <TotalTime>0</TotalTime>
  <ScaleCrop>false</ScaleCrop>
  <LinksUpToDate>false</LinksUpToDate>
  <CharactersWithSpaces>5106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2016-02-25T15:17:00Z</dcterms:created>
  <dc:creator>lenovo</dc:creator>
  <cp:lastModifiedBy>baixin</cp:lastModifiedBy>
  <cp:lastPrinted>2017-01-19T15:31:00Z</cp:lastPrinted>
  <dcterms:modified xsi:type="dcterms:W3CDTF">2024-07-29T11:34:40Z</dcterms:modified>
  <cp:revision>721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  <property fmtid="{D5CDD505-2E9C-101B-9397-08002B2CF9AE}" pid="3" name="ICV">
    <vt:lpwstr>16DEC057891D4C0DB8764FBC7996C205_13</vt:lpwstr>
  </property>
</Properties>
</file>