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B 05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 DB/T944---2014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马铃薯膜下滴灌技术规程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点击此处添加标准名称的英文译名</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bookmarkStart w:id="22" w:name="_Toc16260360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"_Toc162603967" </w:instrText>
      </w:r>
      <w:r>
        <w:fldChar w:fldCharType="separate"/>
      </w:r>
      <w:r>
        <w:rPr>
          <w:rStyle w:val="32"/>
          <w:rFonts w:hint="eastAsia"/>
        </w:rPr>
        <w:t>前言</w:t>
      </w:r>
      <w:r>
        <w:tab/>
      </w:r>
      <w:r>
        <w:fldChar w:fldCharType="begin"/>
      </w:r>
      <w:r>
        <w:instrText xml:space="preserve"> PAGEREF _Toc162603967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"_Toc162603968" </w:instrText>
      </w:r>
      <w:r>
        <w:fldChar w:fldCharType="separate"/>
      </w:r>
      <w:r>
        <w:rPr>
          <w:rStyle w:val="32"/>
        </w:rPr>
        <w:t xml:space="preserve">1 </w:t>
      </w:r>
      <w:r>
        <w:rPr>
          <w:rStyle w:val="32"/>
          <w:rFonts w:hint="eastAsia"/>
        </w:rPr>
        <w:t xml:space="preserve"> 范围</w:t>
      </w:r>
      <w:r>
        <w:tab/>
      </w:r>
      <w:r>
        <w:fldChar w:fldCharType="begin"/>
      </w:r>
      <w:r>
        <w:instrText xml:space="preserve"> PAGEREF _Toc162603968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"_Toc162603969"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_Toc162603969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_Toc162603970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"_Toc162603971" </w:instrText>
      </w:r>
      <w:r>
        <w:fldChar w:fldCharType="separate"/>
      </w:r>
      <w:r>
        <w:rPr>
          <w:rStyle w:val="32"/>
        </w:rPr>
        <w:t xml:space="preserve">4 </w:t>
      </w:r>
      <w:r>
        <w:rPr>
          <w:rStyle w:val="32"/>
          <w:rFonts w:hint="eastAsia"/>
        </w:rPr>
        <w:t xml:space="preserve"> 地块选择</w:t>
      </w:r>
      <w:r>
        <w:tab/>
      </w:r>
      <w:r>
        <w:fldChar w:fldCharType="begin"/>
      </w:r>
      <w:r>
        <w:instrText xml:space="preserve"> PAGEREF _Toc162603971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"_Toc162603972" </w:instrText>
      </w:r>
      <w:r>
        <w:fldChar w:fldCharType="separate"/>
      </w:r>
      <w:r>
        <w:rPr>
          <w:rStyle w:val="32"/>
        </w:rPr>
        <w:t xml:space="preserve">5 </w:t>
      </w:r>
      <w:r>
        <w:rPr>
          <w:rStyle w:val="32"/>
          <w:rFonts w:hint="eastAsia"/>
        </w:rPr>
        <w:t xml:space="preserve"> 设备选择及安装</w:t>
      </w:r>
      <w:r>
        <w:tab/>
      </w:r>
      <w:r>
        <w:fldChar w:fldCharType="begin"/>
      </w:r>
      <w:r>
        <w:instrText xml:space="preserve"> PAGEREF _Toc162603972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"_Toc162603973" </w:instrText>
      </w:r>
      <w:r>
        <w:fldChar w:fldCharType="separate"/>
      </w:r>
      <w:r>
        <w:rPr>
          <w:rStyle w:val="32"/>
        </w:rPr>
        <w:t xml:space="preserve">6 </w:t>
      </w:r>
      <w:r>
        <w:rPr>
          <w:rStyle w:val="32"/>
          <w:rFonts w:hint="eastAsia"/>
        </w:rPr>
        <w:t xml:space="preserve"> 地膜及滴灌带选择</w:t>
      </w:r>
      <w:r>
        <w:tab/>
      </w:r>
      <w:r>
        <w:fldChar w:fldCharType="begin"/>
      </w:r>
      <w:r>
        <w:instrText xml:space="preserve"> PAGEREF _Toc162603973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"_Toc162603974" </w:instrText>
      </w:r>
      <w:r>
        <w:fldChar w:fldCharType="separate"/>
      </w:r>
      <w:r>
        <w:rPr>
          <w:rStyle w:val="32"/>
        </w:rPr>
        <w:t xml:space="preserve">7 </w:t>
      </w:r>
      <w:r>
        <w:rPr>
          <w:rStyle w:val="32"/>
          <w:rFonts w:hint="eastAsia"/>
        </w:rPr>
        <w:t xml:space="preserve"> 地膜及滴灌带铺设</w:t>
      </w:r>
      <w:r>
        <w:tab/>
      </w:r>
      <w:r>
        <w:fldChar w:fldCharType="begin"/>
      </w:r>
      <w:r>
        <w:instrText xml:space="preserve"> PAGEREF _Toc162603974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"_Toc162603975" </w:instrText>
      </w:r>
      <w:r>
        <w:fldChar w:fldCharType="separate"/>
      </w:r>
      <w:r>
        <w:rPr>
          <w:rStyle w:val="32"/>
        </w:rPr>
        <w:t xml:space="preserve">8 </w:t>
      </w:r>
      <w:r>
        <w:rPr>
          <w:rStyle w:val="32"/>
          <w:rFonts w:hint="eastAsia"/>
        </w:rPr>
        <w:t xml:space="preserve"> 田间管理</w:t>
      </w:r>
      <w:r>
        <w:tab/>
      </w:r>
      <w:r>
        <w:fldChar w:fldCharType="begin"/>
      </w:r>
      <w:r>
        <w:instrText xml:space="preserve"> PAGEREF _Toc162603975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"_Toc162603976" </w:instrText>
      </w:r>
      <w:r>
        <w:fldChar w:fldCharType="separate"/>
      </w:r>
      <w:r>
        <w:rPr>
          <w:rStyle w:val="32"/>
        </w:rPr>
        <w:t xml:space="preserve">9 </w:t>
      </w:r>
      <w:r>
        <w:rPr>
          <w:rStyle w:val="32"/>
          <w:rFonts w:hint="eastAsia"/>
        </w:rPr>
        <w:t xml:space="preserve"> 滴灌设备管理维护</w:t>
      </w:r>
      <w:r>
        <w:tab/>
      </w:r>
      <w:r>
        <w:fldChar w:fldCharType="begin"/>
      </w:r>
      <w:r>
        <w:instrText xml:space="preserve"> PAGEREF _Toc162603976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"_Toc162603977" </w:instrText>
      </w:r>
      <w:r>
        <w:fldChar w:fldCharType="separate"/>
      </w:r>
      <w:r>
        <w:rPr>
          <w:rStyle w:val="32"/>
        </w:rPr>
        <w:t xml:space="preserve">10 </w:t>
      </w:r>
      <w:r>
        <w:rPr>
          <w:rStyle w:val="32"/>
          <w:rFonts w:hint="eastAsia"/>
        </w:rPr>
        <w:t xml:space="preserve"> 杀秧</w:t>
      </w:r>
      <w:r>
        <w:tab/>
      </w:r>
      <w:r>
        <w:fldChar w:fldCharType="begin"/>
      </w:r>
      <w:r>
        <w:instrText xml:space="preserve"> PAGEREF _Toc162603977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"_Toc162603978" </w:instrText>
      </w:r>
      <w:r>
        <w:fldChar w:fldCharType="separate"/>
      </w:r>
      <w:r>
        <w:rPr>
          <w:rStyle w:val="32"/>
        </w:rPr>
        <w:t xml:space="preserve">11 </w:t>
      </w:r>
      <w:r>
        <w:rPr>
          <w:rStyle w:val="32"/>
          <w:rFonts w:hint="eastAsia"/>
        </w:rPr>
        <w:t xml:space="preserve"> 收获</w:t>
      </w:r>
      <w:r>
        <w:tab/>
      </w:r>
      <w:r>
        <w:fldChar w:fldCharType="begin"/>
      </w:r>
      <w:r>
        <w:instrText xml:space="preserve"> PAGEREF _Toc162603978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"_Toc162603979" </w:instrText>
      </w:r>
      <w:r>
        <w:fldChar w:fldCharType="separate"/>
      </w:r>
      <w:r>
        <w:rPr>
          <w:rStyle w:val="32"/>
        </w:rPr>
        <w:t xml:space="preserve">12 </w:t>
      </w:r>
      <w:r>
        <w:rPr>
          <w:rStyle w:val="32"/>
          <w:rFonts w:hint="eastAsia"/>
        </w:rPr>
        <w:t xml:space="preserve"> 生产档案</w:t>
      </w:r>
      <w:r>
        <w:tab/>
      </w:r>
      <w:r>
        <w:fldChar w:fldCharType="begin"/>
      </w:r>
      <w:r>
        <w:instrText xml:space="preserve"> PAGEREF _Toc162603979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"_Toc162603980" </w:instrText>
      </w:r>
      <w:r>
        <w:fldChar w:fldCharType="separate"/>
      </w:r>
      <w:r>
        <w:rPr>
          <w:rStyle w:val="32"/>
          <w:rFonts w:hint="eastAsia"/>
        </w:rPr>
        <w:t>附录A（资料性）</w:t>
      </w:r>
      <w:r>
        <w:rPr>
          <w:rStyle w:val="32"/>
        </w:rPr>
        <w:t xml:space="preserve">  </w:t>
      </w:r>
      <w:r>
        <w:rPr>
          <w:rStyle w:val="32"/>
          <w:rFonts w:hint="eastAsia"/>
        </w:rPr>
        <w:t>马铃薯膜下滴灌技术生产档案</w:t>
      </w:r>
      <w:r>
        <w:tab/>
      </w:r>
      <w:r>
        <w:fldChar w:fldCharType="begin"/>
      </w:r>
      <w:r>
        <w:instrText xml:space="preserve"> PAGEREF _Toc162603980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3" w:name="_Toc162603967"/>
      <w:bookmarkStart w:id="24" w:name="BookMark2"/>
      <w:r>
        <w:rPr>
          <w:spacing w:val="320"/>
        </w:rPr>
        <w:t>前</w:t>
      </w:r>
      <w:r>
        <w:t>言</w:t>
      </w:r>
      <w:bookmarkEnd w:id="22"/>
      <w:bookmarkEnd w:id="23"/>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本文件代替DB14/T 944—2014《马铃薯膜下滴灌技术规程》，与DB14/T 944—2014相比，除结构调整和编辑性改动外，主要技术变化如下:</w:t>
      </w:r>
    </w:p>
    <w:p>
      <w:pPr>
        <w:pStyle w:val="56"/>
        <w:ind w:firstLine="420"/>
        <w:rPr>
          <w:rFonts w:hint="eastAsia" w:eastAsia="宋体"/>
          <w:lang w:eastAsia="zh-CN"/>
        </w:rPr>
      </w:pPr>
      <w:r>
        <w:rPr>
          <w:rFonts w:hint="eastAsia"/>
        </w:rPr>
        <w:t>——增加了引用文件（见2）</w:t>
      </w:r>
      <w:r>
        <w:rPr>
          <w:rFonts w:hint="eastAsia"/>
          <w:lang w:eastAsia="zh-CN"/>
        </w:rPr>
        <w:t>；</w:t>
      </w:r>
    </w:p>
    <w:p>
      <w:pPr>
        <w:pStyle w:val="56"/>
        <w:ind w:firstLine="420"/>
        <w:rPr>
          <w:rFonts w:hint="eastAsia" w:eastAsia="宋体"/>
          <w:lang w:eastAsia="zh-CN"/>
        </w:rPr>
      </w:pPr>
      <w:r>
        <w:rPr>
          <w:rFonts w:hint="eastAsia"/>
        </w:rPr>
        <w:t>——更改了地膜宽</w:t>
      </w:r>
      <w:r>
        <w:rPr>
          <w:rFonts w:hint="eastAsia"/>
          <w:lang w:eastAsia="zh-CN"/>
        </w:rPr>
        <w:t>度</w:t>
      </w:r>
      <w:bookmarkStart w:id="75" w:name="_GoBack"/>
      <w:bookmarkEnd w:id="75"/>
      <w:r>
        <w:rPr>
          <w:rFonts w:hint="eastAsia"/>
        </w:rPr>
        <w:t>（见6.1.1</w:t>
      </w:r>
      <w:r>
        <w:rPr>
          <w:rFonts w:hint="eastAsia"/>
          <w:lang w:eastAsia="zh-CN"/>
        </w:rPr>
        <w:t>，</w:t>
      </w:r>
      <w:r>
        <w:rPr>
          <w:rFonts w:hint="eastAsia"/>
          <w:lang w:val="en-US" w:eastAsia="zh-CN"/>
        </w:rPr>
        <w:t>2014版的6.1.1</w:t>
      </w:r>
      <w:r>
        <w:rPr>
          <w:rFonts w:hint="eastAsia"/>
        </w:rPr>
        <w:t>）</w:t>
      </w:r>
      <w:r>
        <w:rPr>
          <w:rFonts w:hint="eastAsia"/>
          <w:lang w:eastAsia="zh-CN"/>
        </w:rPr>
        <w:t>；</w:t>
      </w:r>
    </w:p>
    <w:p>
      <w:pPr>
        <w:pStyle w:val="56"/>
        <w:ind w:firstLine="420"/>
        <w:rPr>
          <w:rFonts w:hint="eastAsia" w:eastAsia="宋体"/>
          <w:lang w:eastAsia="zh-CN"/>
        </w:rPr>
      </w:pPr>
      <w:r>
        <w:rPr>
          <w:rFonts w:hint="eastAsia"/>
        </w:rPr>
        <w:t>——增加了播种时间、起垄的技术参数（见7.1）</w:t>
      </w:r>
      <w:r>
        <w:rPr>
          <w:rFonts w:hint="eastAsia"/>
          <w:lang w:eastAsia="zh-CN"/>
        </w:rPr>
        <w:t>；</w:t>
      </w:r>
    </w:p>
    <w:p>
      <w:pPr>
        <w:pStyle w:val="56"/>
        <w:ind w:firstLine="420"/>
        <w:rPr>
          <w:rFonts w:hint="eastAsia" w:eastAsia="宋体"/>
          <w:lang w:eastAsia="zh-CN"/>
        </w:rPr>
      </w:pPr>
      <w:r>
        <w:rPr>
          <w:rFonts w:hint="eastAsia"/>
        </w:rPr>
        <w:t>——更改了上土时间、上土厚度、垄宽等参数（见7.3</w:t>
      </w:r>
      <w:r>
        <w:rPr>
          <w:rFonts w:hint="eastAsia"/>
          <w:lang w:eastAsia="zh-CN"/>
        </w:rPr>
        <w:t>，</w:t>
      </w:r>
      <w:r>
        <w:rPr>
          <w:rFonts w:hint="eastAsia"/>
          <w:lang w:val="en-US" w:eastAsia="zh-CN"/>
        </w:rPr>
        <w:t>2014版的7.3</w:t>
      </w:r>
      <w:r>
        <w:rPr>
          <w:rFonts w:hint="eastAsia"/>
        </w:rPr>
        <w:t>）</w:t>
      </w:r>
      <w:r>
        <w:rPr>
          <w:rFonts w:hint="eastAsia"/>
          <w:lang w:eastAsia="zh-CN"/>
        </w:rPr>
        <w:t>；</w:t>
      </w:r>
    </w:p>
    <w:p>
      <w:pPr>
        <w:pStyle w:val="56"/>
        <w:ind w:firstLine="420"/>
        <w:rPr>
          <w:rFonts w:hint="eastAsia" w:eastAsia="宋体"/>
          <w:lang w:eastAsia="zh-CN"/>
        </w:rPr>
      </w:pPr>
      <w:r>
        <w:rPr>
          <w:rFonts w:hint="eastAsia"/>
        </w:rPr>
        <w:t>——更改了滴灌技术（见8.1</w:t>
      </w:r>
      <w:r>
        <w:rPr>
          <w:rFonts w:hint="eastAsia"/>
          <w:lang w:eastAsia="zh-CN"/>
        </w:rPr>
        <w:t>，</w:t>
      </w:r>
      <w:r>
        <w:rPr>
          <w:rFonts w:hint="eastAsia"/>
          <w:lang w:val="en-US" w:eastAsia="zh-CN"/>
        </w:rPr>
        <w:t>2014版的8.1</w:t>
      </w:r>
      <w:r>
        <w:rPr>
          <w:rFonts w:hint="eastAsia"/>
        </w:rPr>
        <w:t>）</w:t>
      </w:r>
      <w:r>
        <w:rPr>
          <w:rFonts w:hint="eastAsia"/>
          <w:lang w:eastAsia="zh-CN"/>
        </w:rPr>
        <w:t>；</w:t>
      </w:r>
    </w:p>
    <w:p>
      <w:pPr>
        <w:pStyle w:val="56"/>
        <w:ind w:firstLine="420"/>
        <w:rPr>
          <w:rFonts w:hint="eastAsia" w:eastAsia="宋体"/>
          <w:lang w:eastAsia="zh-CN"/>
        </w:rPr>
      </w:pPr>
      <w:r>
        <w:rPr>
          <w:rFonts w:hint="eastAsia"/>
        </w:rPr>
        <w:t>——更改了</w:t>
      </w:r>
      <w:r>
        <w:rPr>
          <w:rFonts w:hint="eastAsia"/>
          <w:lang w:eastAsia="zh-CN"/>
        </w:rPr>
        <w:t>施肥技术</w:t>
      </w:r>
      <w:r>
        <w:rPr>
          <w:rFonts w:hint="eastAsia"/>
        </w:rPr>
        <w:t>（见</w:t>
      </w:r>
      <w:r>
        <w:rPr>
          <w:rFonts w:hint="eastAsia"/>
          <w:lang w:val="en-US" w:eastAsia="zh-CN"/>
        </w:rPr>
        <w:t>8.2，2014版的8.2</w:t>
      </w:r>
      <w:r>
        <w:rPr>
          <w:rFonts w:hint="eastAsia"/>
        </w:rPr>
        <w:t>）</w:t>
      </w:r>
      <w:r>
        <w:rPr>
          <w:rFonts w:hint="eastAsia"/>
          <w:lang w:eastAsia="zh-CN"/>
        </w:rPr>
        <w:t>；</w:t>
      </w:r>
    </w:p>
    <w:p>
      <w:pPr>
        <w:pStyle w:val="56"/>
        <w:ind w:firstLine="420"/>
        <w:rPr>
          <w:rFonts w:hint="eastAsia" w:eastAsia="宋体"/>
          <w:lang w:eastAsia="zh-CN"/>
        </w:rPr>
      </w:pPr>
      <w:r>
        <w:rPr>
          <w:rFonts w:hint="eastAsia"/>
        </w:rPr>
        <w:t>——增加了病虫害防治（见8.3）</w:t>
      </w:r>
      <w:r>
        <w:rPr>
          <w:rFonts w:hint="eastAsia"/>
          <w:lang w:eastAsia="zh-CN"/>
        </w:rPr>
        <w:t>；</w:t>
      </w:r>
    </w:p>
    <w:p>
      <w:pPr>
        <w:pStyle w:val="56"/>
        <w:ind w:firstLine="420"/>
        <w:rPr>
          <w:rFonts w:hint="eastAsia" w:eastAsia="宋体"/>
          <w:lang w:eastAsia="zh-CN"/>
        </w:rPr>
      </w:pPr>
      <w:r>
        <w:rPr>
          <w:rFonts w:hint="eastAsia"/>
        </w:rPr>
        <w:t>——删除了回收滴灌带（</w:t>
      </w:r>
      <w:r>
        <w:rPr>
          <w:rFonts w:hint="eastAsia"/>
          <w:lang w:eastAsia="zh-CN"/>
        </w:rPr>
        <w:t>见</w:t>
      </w:r>
      <w:r>
        <w:rPr>
          <w:rFonts w:hint="eastAsia"/>
          <w:lang w:val="en-US" w:eastAsia="zh-CN"/>
        </w:rPr>
        <w:t>2014版的</w:t>
      </w:r>
      <w:r>
        <w:rPr>
          <w:rFonts w:hint="eastAsia"/>
        </w:rPr>
        <w:t>9.3）</w:t>
      </w:r>
      <w:r>
        <w:rPr>
          <w:rFonts w:hint="eastAsia"/>
          <w:lang w:eastAsia="zh-CN"/>
        </w:rPr>
        <w:t>；</w:t>
      </w:r>
    </w:p>
    <w:p>
      <w:pPr>
        <w:pStyle w:val="56"/>
        <w:ind w:firstLine="420"/>
        <w:rPr>
          <w:rFonts w:hint="eastAsia" w:eastAsia="宋体"/>
          <w:lang w:eastAsia="zh-CN"/>
        </w:rPr>
      </w:pPr>
      <w:r>
        <w:rPr>
          <w:rFonts w:hint="eastAsia"/>
        </w:rPr>
        <w:t>——增加了杀秧（见10）</w:t>
      </w:r>
      <w:r>
        <w:rPr>
          <w:rFonts w:hint="eastAsia"/>
          <w:lang w:eastAsia="zh-CN"/>
        </w:rPr>
        <w:t>；</w:t>
      </w:r>
    </w:p>
    <w:p>
      <w:pPr>
        <w:pStyle w:val="56"/>
        <w:ind w:firstLine="420"/>
        <w:rPr>
          <w:rFonts w:hint="eastAsia" w:eastAsia="宋体"/>
          <w:lang w:eastAsia="zh-CN"/>
        </w:rPr>
      </w:pPr>
      <w:r>
        <w:rPr>
          <w:rFonts w:hint="eastAsia"/>
        </w:rPr>
        <w:t>——增加了收获（见11）</w:t>
      </w:r>
      <w:r>
        <w:rPr>
          <w:rFonts w:hint="eastAsia"/>
          <w:lang w:eastAsia="zh-CN"/>
        </w:rPr>
        <w:t>；</w:t>
      </w:r>
    </w:p>
    <w:p>
      <w:pPr>
        <w:pStyle w:val="56"/>
        <w:ind w:firstLine="420"/>
        <w:rPr>
          <w:rFonts w:hint="eastAsia" w:eastAsia="宋体"/>
          <w:lang w:eastAsia="zh-CN"/>
        </w:rPr>
      </w:pPr>
      <w:r>
        <w:rPr>
          <w:rFonts w:hint="eastAsia"/>
        </w:rPr>
        <w:t>——增加了生产档案（见12）</w:t>
      </w:r>
      <w:r>
        <w:rPr>
          <w:rFonts w:hint="eastAsia"/>
          <w:lang w:eastAsia="zh-CN"/>
        </w:rPr>
        <w:t>。</w:t>
      </w:r>
    </w:p>
    <w:p>
      <w:pPr>
        <w:pStyle w:val="56"/>
        <w:ind w:firstLine="420"/>
        <w:rPr>
          <w:rFonts w:hint="eastAsia"/>
        </w:rPr>
      </w:pPr>
      <w:r>
        <w:rPr>
          <w:rFonts w:hint="eastAsia"/>
        </w:rPr>
        <w:t>本文件由山西省农业农村厅提出、组织实施和监督检查。</w:t>
      </w:r>
    </w:p>
    <w:p>
      <w:pPr>
        <w:pStyle w:val="56"/>
        <w:ind w:firstLine="420"/>
        <w:rPr>
          <w:rFonts w:hint="eastAsia"/>
        </w:rPr>
      </w:pPr>
      <w:r>
        <w:rPr>
          <w:rFonts w:hint="eastAsia"/>
        </w:rPr>
        <w:t>本文件由山西省市场监督管理局对标准的组织实施情况进行监督检查。</w:t>
      </w:r>
    </w:p>
    <w:p>
      <w:pPr>
        <w:pStyle w:val="56"/>
        <w:ind w:firstLine="420"/>
        <w:rPr>
          <w:rFonts w:hint="eastAsia"/>
        </w:rPr>
      </w:pPr>
      <w:r>
        <w:rPr>
          <w:rFonts w:hint="eastAsia"/>
        </w:rPr>
        <w:t>本文件由山西省农业标准化技术委员会（SXS/TC19)归口。</w:t>
      </w:r>
    </w:p>
    <w:p>
      <w:pPr>
        <w:pStyle w:val="56"/>
        <w:ind w:firstLine="420"/>
        <w:rPr>
          <w:rFonts w:hint="eastAsia"/>
        </w:rPr>
      </w:pPr>
      <w:r>
        <w:rPr>
          <w:rFonts w:hint="eastAsia"/>
        </w:rPr>
        <w:t>本文件起草单位：山西农业大学。</w:t>
      </w:r>
    </w:p>
    <w:p>
      <w:pPr>
        <w:pStyle w:val="56"/>
        <w:ind w:firstLine="420"/>
        <w:rPr>
          <w:rFonts w:hint="eastAsia"/>
        </w:rPr>
      </w:pPr>
      <w:r>
        <w:rPr>
          <w:rFonts w:hint="eastAsia"/>
        </w:rPr>
        <w:t>本文件主要起草人：杨春、白小东、范向斌、齐海英、杜培兵、张永福、陈云、毛向红、朱智慧、沈日敏、卢瑶。</w:t>
      </w:r>
    </w:p>
    <w:p>
      <w:pPr>
        <w:pStyle w:val="56"/>
        <w:ind w:firstLine="420"/>
        <w:rPr>
          <w:rFonts w:hint="eastAsia"/>
        </w:rPr>
      </w:pPr>
      <w:r>
        <w:rPr>
          <w:rFonts w:hint="eastAsia"/>
        </w:rPr>
        <w:t>本文件及其所代替文件的历次版本发布情况为：</w:t>
      </w:r>
    </w:p>
    <w:p>
      <w:pPr>
        <w:pStyle w:val="56"/>
        <w:ind w:firstLine="420"/>
        <w:rPr>
          <w:rFonts w:hint="eastAsia"/>
        </w:rPr>
      </w:pPr>
      <w:r>
        <w:rPr>
          <w:rFonts w:hint="eastAsia"/>
        </w:rPr>
        <w:t>——2014年首次发布为DB14/T 944—2014；</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——本次为第一次修订。</w:t>
      </w: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7AE4A18401DC4637A7BADD9DABAEA00C"/>
        </w:placeholder>
      </w:sdtPr>
      <w:sdtContent>
        <w:p>
          <w:pPr>
            <w:pStyle w:val="177"/>
            <w:spacing w:before="3" w:beforeLines="1" w:after="686" w:afterLines="220"/>
          </w:pPr>
          <w:bookmarkStart w:id="26" w:name="NEW_STAND_NAME"/>
          <w:r>
            <w:rPr>
              <w:rFonts w:hint="eastAsia"/>
            </w:rPr>
            <w:t>马铃薯膜下滴灌技术规程</w:t>
          </w:r>
        </w:p>
      </w:sdtContent>
    </w:sdt>
    <w:bookmarkEnd w:id="26"/>
    <w:p>
      <w:pPr>
        <w:pStyle w:val="104"/>
        <w:spacing w:before="312" w:after="312"/>
      </w:pPr>
      <w:bookmarkStart w:id="27" w:name="_Toc162603602"/>
      <w:bookmarkStart w:id="28" w:name="_Toc26648465"/>
      <w:bookmarkStart w:id="29" w:name="_Toc24884211"/>
      <w:bookmarkStart w:id="30" w:name="_Toc97191423"/>
      <w:bookmarkStart w:id="31" w:name="_Toc24884218"/>
      <w:bookmarkStart w:id="32" w:name="_Toc26986530"/>
      <w:bookmarkStart w:id="33" w:name="_Toc17233333"/>
      <w:bookmarkStart w:id="34" w:name="_Toc26718930"/>
      <w:bookmarkStart w:id="35" w:name="_Toc162603968"/>
      <w:bookmarkStart w:id="36" w:name="_Toc26986771"/>
      <w:bookmarkStart w:id="37" w:name="_Toc17233325"/>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rPr>
          <w:rFonts w:hint="eastAsia"/>
        </w:rPr>
      </w:pPr>
      <w:bookmarkStart w:id="38" w:name="_Toc26648466"/>
      <w:bookmarkStart w:id="39" w:name="_Toc17233326"/>
      <w:bookmarkStart w:id="40" w:name="_Toc24884212"/>
      <w:bookmarkStart w:id="41" w:name="_Toc24884219"/>
      <w:bookmarkStart w:id="42" w:name="_Toc17233334"/>
      <w:r>
        <w:rPr>
          <w:rFonts w:hint="eastAsia"/>
        </w:rPr>
        <w:t>本文件规定了马铃薯膜下滴灌的术语和定义、地块选择、设备选择及安装、地膜及滴灌带选择、地膜及滴灌带铺设、田间管理、滴灌设备管理维护</w:t>
      </w:r>
      <w:r>
        <w:rPr>
          <w:rFonts w:hint="eastAsia"/>
          <w:lang w:eastAsia="zh-CN"/>
        </w:rPr>
        <w:t>、杀秧、收获、生产档案</w:t>
      </w:r>
      <w:r>
        <w:rPr>
          <w:rFonts w:hint="eastAsia"/>
        </w:rPr>
        <w:t>。</w:t>
      </w:r>
    </w:p>
    <w:p>
      <w:pPr>
        <w:pStyle w:val="56"/>
        <w:ind w:firstLine="420"/>
      </w:pPr>
      <w:r>
        <w:rPr>
          <w:rFonts w:hint="eastAsia"/>
        </w:rPr>
        <w:t>本文件适用于马铃薯膜下滴灌生产。</w:t>
      </w:r>
    </w:p>
    <w:p>
      <w:pPr>
        <w:pStyle w:val="104"/>
        <w:spacing w:before="312" w:after="312"/>
      </w:pPr>
      <w:bookmarkStart w:id="43" w:name="_Toc162603603"/>
      <w:bookmarkStart w:id="44" w:name="_Toc162603969"/>
      <w:bookmarkStart w:id="45" w:name="_Toc26718931"/>
      <w:bookmarkStart w:id="46" w:name="_Toc26986772"/>
      <w:bookmarkStart w:id="47" w:name="_Toc26986531"/>
      <w:bookmarkStart w:id="48" w:name="_Toc9719142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5EBE021E79C34916AEB67D17C7ED903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 3095 环境空气质量标准</w:t>
      </w:r>
    </w:p>
    <w:p>
      <w:pPr>
        <w:pStyle w:val="56"/>
        <w:ind w:firstLine="420"/>
        <w:rPr>
          <w:rFonts w:ascii="Times New Roman"/>
        </w:rPr>
      </w:pPr>
      <w:r>
        <w:rPr>
          <w:rFonts w:ascii="Times New Roman"/>
        </w:rPr>
        <w:t>GB 5084 农田灌溉水质标准</w:t>
      </w:r>
    </w:p>
    <w:p>
      <w:pPr>
        <w:pStyle w:val="56"/>
        <w:ind w:firstLine="420"/>
        <w:rPr>
          <w:rFonts w:ascii="Times New Roman"/>
        </w:rPr>
      </w:pPr>
      <w:r>
        <w:rPr>
          <w:rFonts w:ascii="Times New Roman"/>
        </w:rPr>
        <w:t xml:space="preserve">GB/T 8321 （所有部分）农药合理使用准则 </w:t>
      </w:r>
    </w:p>
    <w:p>
      <w:pPr>
        <w:pStyle w:val="56"/>
        <w:ind w:firstLine="420"/>
        <w:rPr>
          <w:rFonts w:ascii="Times New Roman"/>
        </w:rPr>
      </w:pPr>
      <w:r>
        <w:rPr>
          <w:rFonts w:ascii="Times New Roman"/>
        </w:rPr>
        <w:t>GB 15618 土壤环境质量 农用地土壤污染风险管控标准</w:t>
      </w:r>
    </w:p>
    <w:p>
      <w:pPr>
        <w:pStyle w:val="56"/>
        <w:ind w:firstLine="420"/>
        <w:rPr>
          <w:rFonts w:ascii="Times New Roman"/>
        </w:rPr>
      </w:pPr>
      <w:r>
        <w:rPr>
          <w:rFonts w:ascii="Times New Roman"/>
        </w:rPr>
        <w:t>GB/T 17187 农业灌溉设备 滴头和滴灌管 技术规范和试验方法</w:t>
      </w:r>
    </w:p>
    <w:p>
      <w:pPr>
        <w:pStyle w:val="56"/>
        <w:ind w:firstLine="420"/>
        <w:rPr>
          <w:rFonts w:ascii="Times New Roman"/>
        </w:rPr>
      </w:pPr>
      <w:r>
        <w:rPr>
          <w:rFonts w:ascii="Times New Roman"/>
        </w:rPr>
        <w:t>GB/T 19812.3 塑料节水灌溉器材 第三部分：内镶式滴灌管及滴灌带</w:t>
      </w:r>
    </w:p>
    <w:p>
      <w:pPr>
        <w:pStyle w:val="56"/>
        <w:ind w:firstLine="420"/>
        <w:rPr>
          <w:rFonts w:ascii="Times New Roman"/>
        </w:rPr>
      </w:pPr>
      <w:r>
        <w:rPr>
          <w:rFonts w:ascii="Times New Roman"/>
        </w:rPr>
        <w:t>GB/T 50485 微灌工程技术规范</w:t>
      </w:r>
    </w:p>
    <w:p>
      <w:pPr>
        <w:pStyle w:val="56"/>
        <w:ind w:firstLine="420"/>
        <w:rPr>
          <w:rFonts w:ascii="Times New Roman"/>
        </w:rPr>
      </w:pPr>
      <w:r>
        <w:rPr>
          <w:rFonts w:ascii="Times New Roman"/>
        </w:rPr>
        <w:t>NY/T 496 肥料合理使用准则</w:t>
      </w:r>
    </w:p>
    <w:p>
      <w:pPr>
        <w:pStyle w:val="56"/>
        <w:ind w:firstLine="420"/>
        <w:rPr>
          <w:rFonts w:ascii="Times New Roman"/>
        </w:rPr>
      </w:pPr>
      <w:r>
        <w:rPr>
          <w:rFonts w:ascii="Times New Roman"/>
        </w:rPr>
        <w:t>NY/T 1276  农药安全使用规范准则</w:t>
      </w:r>
    </w:p>
    <w:p>
      <w:pPr>
        <w:pStyle w:val="56"/>
        <w:ind w:firstLine="420"/>
      </w:pPr>
      <w:r>
        <w:rPr>
          <w:rFonts w:ascii="Times New Roman"/>
        </w:rPr>
        <w:t>NY/T 2383  马铃薯主要病虫害防治技术规程</w:t>
      </w:r>
    </w:p>
    <w:p>
      <w:pPr>
        <w:pStyle w:val="104"/>
        <w:spacing w:before="312" w:after="312"/>
      </w:pPr>
      <w:bookmarkStart w:id="49" w:name="_Toc162603604"/>
      <w:bookmarkStart w:id="50" w:name="_Toc162603970"/>
      <w:bookmarkStart w:id="51" w:name="_Toc97191425"/>
      <w:r>
        <w:rPr>
          <w:rFonts w:hint="eastAsia"/>
          <w:szCs w:val="21"/>
        </w:rPr>
        <w:t>术语和定义</w:t>
      </w:r>
      <w:bookmarkEnd w:id="49"/>
      <w:bookmarkEnd w:id="50"/>
      <w:bookmarkEnd w:id="51"/>
    </w:p>
    <w:sdt>
      <w:sdtPr>
        <w:id w:val="-1909835108"/>
        <w:placeholder>
          <w:docPart w:val="365C9996079C47BA9961C4D8786C2E8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105"/>
        <w:spacing w:before="156" w:after="156"/>
        <w:rPr>
          <w:rFonts w:hint="eastAsia"/>
        </w:rPr>
      </w:pPr>
    </w:p>
    <w:p>
      <w:pPr>
        <w:pStyle w:val="105"/>
        <w:numPr>
          <w:ilvl w:val="0"/>
          <w:numId w:val="0"/>
        </w:numPr>
        <w:spacing w:before="156" w:after="156"/>
        <w:ind w:firstLine="420" w:firstLineChars="200"/>
        <w:rPr>
          <w:rFonts w:hint="eastAsia"/>
        </w:rPr>
      </w:pPr>
      <w:r>
        <w:rPr>
          <w:rFonts w:hint="eastAsia"/>
        </w:rPr>
        <w:t>滴灌</w:t>
      </w:r>
    </w:p>
    <w:p>
      <w:pPr>
        <w:pStyle w:val="56"/>
        <w:ind w:firstLine="420"/>
      </w:pPr>
      <w:r>
        <w:rPr>
          <w:rFonts w:hint="eastAsia"/>
        </w:rPr>
        <w:t>用专门的管道系统和设备将低压水送到灌溉地段并缓慢地滴到作物根部土壤的一种灌溉方法。</w:t>
      </w:r>
    </w:p>
    <w:p>
      <w:pPr>
        <w:pStyle w:val="105"/>
        <w:spacing w:before="156" w:after="156"/>
        <w:rPr>
          <w:rFonts w:hint="eastAsia"/>
        </w:rPr>
      </w:pPr>
    </w:p>
    <w:p>
      <w:pPr>
        <w:pStyle w:val="105"/>
        <w:numPr>
          <w:ilvl w:val="0"/>
          <w:numId w:val="0"/>
        </w:numPr>
        <w:spacing w:before="156" w:after="156"/>
        <w:ind w:firstLine="420" w:firstLineChars="200"/>
      </w:pPr>
      <w:r>
        <w:rPr>
          <w:rFonts w:hint="eastAsia"/>
        </w:rPr>
        <w:t>膜下滴灌</w:t>
      </w:r>
    </w:p>
    <w:p>
      <w:pPr>
        <w:pStyle w:val="56"/>
        <w:ind w:firstLine="420"/>
        <w:rPr>
          <w:rFonts w:hint="eastAsia"/>
        </w:rPr>
      </w:pPr>
      <w:r>
        <w:rPr>
          <w:rFonts w:hint="eastAsia"/>
        </w:rPr>
        <w:t>在滴灌带覆盖一层地膜的灌溉栽培技术。</w:t>
      </w:r>
    </w:p>
    <w:p>
      <w:pPr>
        <w:pStyle w:val="104"/>
        <w:spacing w:before="312" w:after="312"/>
        <w:rPr>
          <w:rFonts w:hint="eastAsia"/>
        </w:rPr>
      </w:pPr>
      <w:bookmarkStart w:id="53" w:name="_Toc162603971"/>
      <w:bookmarkStart w:id="54" w:name="_Toc162603605"/>
      <w:r>
        <w:rPr>
          <w:rFonts w:hint="eastAsia"/>
        </w:rPr>
        <w:t>地块选择</w:t>
      </w:r>
      <w:bookmarkEnd w:id="53"/>
      <w:bookmarkEnd w:id="54"/>
    </w:p>
    <w:p>
      <w:pPr>
        <w:pStyle w:val="56"/>
        <w:ind w:firstLine="420"/>
        <w:rPr>
          <w:rFonts w:ascii="Times New Roman"/>
        </w:rPr>
      </w:pPr>
      <w:r>
        <w:rPr>
          <w:rFonts w:ascii="Times New Roman"/>
        </w:rPr>
        <w:t>选择具有良好水源、灌溉基础条件的沙壤土、壤土地块。水质应符合GB 5084的要求，土壤应符合GB 15618的要求，大气应符合GB 3095的要求。</w:t>
      </w:r>
    </w:p>
    <w:p>
      <w:pPr>
        <w:pStyle w:val="104"/>
        <w:spacing w:before="312" w:after="312"/>
        <w:rPr>
          <w:rFonts w:hint="eastAsia"/>
        </w:rPr>
      </w:pPr>
      <w:bookmarkStart w:id="55" w:name="_Toc162603606"/>
      <w:bookmarkStart w:id="56" w:name="_Toc162603972"/>
      <w:r>
        <w:rPr>
          <w:rFonts w:hint="eastAsia"/>
        </w:rPr>
        <w:t>设备选择及安装</w:t>
      </w:r>
      <w:bookmarkEnd w:id="55"/>
      <w:bookmarkEnd w:id="56"/>
    </w:p>
    <w:p>
      <w:pPr>
        <w:pStyle w:val="105"/>
        <w:spacing w:before="156" w:after="156"/>
        <w:rPr>
          <w:rFonts w:hint="eastAsia"/>
        </w:rPr>
      </w:pPr>
      <w:r>
        <w:rPr>
          <w:rFonts w:hint="eastAsia"/>
        </w:rPr>
        <w:t>设备选择</w:t>
      </w:r>
    </w:p>
    <w:p>
      <w:pPr>
        <w:pStyle w:val="56"/>
        <w:ind w:firstLine="420"/>
        <w:rPr>
          <w:rFonts w:ascii="Times New Roman"/>
        </w:rPr>
      </w:pPr>
      <w:r>
        <w:rPr>
          <w:rFonts w:ascii="Times New Roman"/>
        </w:rPr>
        <w:t>滴灌设备包括首部枢纽、地下主支管道、地上主支管、施肥灌和滴灌带，应就近选择经济实用，质量可靠的设备，并符合GB/T 17187和GB/T 19812.3的要求。</w:t>
      </w:r>
    </w:p>
    <w:p>
      <w:pPr>
        <w:pStyle w:val="105"/>
        <w:spacing w:before="156" w:after="156"/>
        <w:rPr>
          <w:rFonts w:hint="eastAsia"/>
        </w:rPr>
      </w:pPr>
      <w:r>
        <w:rPr>
          <w:rFonts w:hint="eastAsia"/>
        </w:rPr>
        <w:t>设备安装</w:t>
      </w:r>
    </w:p>
    <w:p>
      <w:pPr>
        <w:pStyle w:val="56"/>
        <w:ind w:firstLine="420"/>
        <w:rPr>
          <w:rFonts w:hint="eastAsia"/>
        </w:rPr>
      </w:pPr>
      <w:r>
        <w:rPr>
          <w:rFonts w:hint="eastAsia"/>
        </w:rPr>
        <w:t>首部枢纽、地下主支管道、地上主支管和滴灌带设计、安装应按照</w:t>
      </w:r>
      <w:r>
        <w:rPr>
          <w:rFonts w:ascii="Times New Roman"/>
        </w:rPr>
        <w:t>GB/T 50485</w:t>
      </w:r>
      <w:r>
        <w:rPr>
          <w:rFonts w:hint="eastAsia"/>
        </w:rPr>
        <w:t>要求实施。</w:t>
      </w:r>
    </w:p>
    <w:p>
      <w:pPr>
        <w:pStyle w:val="104"/>
        <w:spacing w:before="312" w:after="312"/>
        <w:rPr>
          <w:rFonts w:hint="eastAsia"/>
        </w:rPr>
      </w:pPr>
      <w:bookmarkStart w:id="57" w:name="_Toc162603973"/>
      <w:bookmarkStart w:id="58" w:name="_Toc162603607"/>
      <w:r>
        <w:rPr>
          <w:rFonts w:hint="eastAsia"/>
        </w:rPr>
        <w:t>地膜及滴灌带选择</w:t>
      </w:r>
      <w:bookmarkEnd w:id="57"/>
      <w:bookmarkEnd w:id="58"/>
    </w:p>
    <w:p>
      <w:pPr>
        <w:pStyle w:val="105"/>
        <w:spacing w:before="156" w:after="156"/>
        <w:rPr>
          <w:rFonts w:hint="eastAsia"/>
        </w:rPr>
      </w:pPr>
      <w:r>
        <w:rPr>
          <w:rFonts w:hint="eastAsia"/>
        </w:rPr>
        <w:t>地膜</w:t>
      </w:r>
    </w:p>
    <w:p>
      <w:pPr>
        <w:pStyle w:val="56"/>
        <w:ind w:firstLine="420"/>
        <w:rPr>
          <w:rFonts w:ascii="Times New Roman"/>
        </w:rPr>
      </w:pPr>
      <w:r>
        <w:rPr>
          <w:rFonts w:hint="eastAsia" w:ascii="Times New Roman"/>
          <w:lang w:eastAsia="zh-CN"/>
        </w:rPr>
        <w:t>地膜</w:t>
      </w:r>
      <w:r>
        <w:rPr>
          <w:rFonts w:ascii="Times New Roman"/>
        </w:rPr>
        <w:t>厚度</w:t>
      </w:r>
      <w:r>
        <w:rPr>
          <w:rFonts w:hint="eastAsia" w:ascii="Times New Roman"/>
          <w:lang w:eastAsia="zh-CN"/>
        </w:rPr>
        <w:t>选</w:t>
      </w:r>
      <w:r>
        <w:rPr>
          <w:rFonts w:ascii="Times New Roman"/>
        </w:rPr>
        <w:t>用0.008 mm以上。宽垄双行幅宽采用100 cm。单垄单行幅宽采用90 cm。</w:t>
      </w:r>
    </w:p>
    <w:p>
      <w:pPr>
        <w:pStyle w:val="105"/>
        <w:spacing w:before="156" w:after="156"/>
        <w:rPr>
          <w:rFonts w:hint="eastAsia"/>
        </w:rPr>
      </w:pPr>
      <w:r>
        <w:rPr>
          <w:rFonts w:hint="eastAsia"/>
        </w:rPr>
        <w:t>滴灌带</w:t>
      </w:r>
    </w:p>
    <w:p>
      <w:pPr>
        <w:pStyle w:val="56"/>
        <w:ind w:firstLine="420"/>
        <w:rPr>
          <w:rFonts w:hint="eastAsia"/>
        </w:rPr>
      </w:pPr>
      <w:r>
        <w:rPr>
          <w:rFonts w:ascii="Times New Roman"/>
        </w:rPr>
        <w:t>宽垄双行滴头间距选择30 cm ，单垄单行滴头间距选择20 cm。符合GB/T 19812.3的要求</w:t>
      </w:r>
      <w:r>
        <w:rPr>
          <w:rFonts w:hint="eastAsia"/>
        </w:rPr>
        <w:t>。</w:t>
      </w:r>
    </w:p>
    <w:p>
      <w:pPr>
        <w:pStyle w:val="104"/>
        <w:spacing w:before="312" w:after="312"/>
        <w:rPr>
          <w:rFonts w:hint="eastAsia"/>
        </w:rPr>
      </w:pPr>
      <w:bookmarkStart w:id="59" w:name="_Toc162603608"/>
      <w:bookmarkStart w:id="60" w:name="_Toc162603974"/>
      <w:r>
        <w:rPr>
          <w:rFonts w:hint="eastAsia"/>
        </w:rPr>
        <w:t>地膜及滴灌带铺设</w:t>
      </w:r>
      <w:bookmarkEnd w:id="59"/>
      <w:bookmarkEnd w:id="60"/>
    </w:p>
    <w:p>
      <w:pPr>
        <w:pStyle w:val="105"/>
        <w:spacing w:before="156" w:after="156"/>
        <w:rPr>
          <w:rFonts w:hint="eastAsia"/>
        </w:rPr>
      </w:pPr>
      <w:r>
        <w:t>播种</w:t>
      </w:r>
      <w:r>
        <w:rPr>
          <w:rFonts w:hint="eastAsia"/>
          <w:lang w:eastAsia="zh-CN"/>
        </w:rPr>
        <w:t>覆膜</w:t>
      </w:r>
    </w:p>
    <w:p>
      <w:pPr>
        <w:pStyle w:val="56"/>
        <w:ind w:firstLine="420"/>
        <w:rPr>
          <w:rFonts w:ascii="Times New Roman"/>
        </w:rPr>
      </w:pPr>
      <w:r>
        <w:rPr>
          <w:rFonts w:ascii="Times New Roman"/>
        </w:rPr>
        <w:t>采用机械化作业，铺设滴灌带、施肥、覆膜与播种一次性完成。10 cm地温稳定在5 ℃时，开始播种。宽垄双行垄距110 cm～120 cm，垄上行距20 cm～25 cm，株距27 cm～30 cm；单垄单行垄距90 cm，株距18 cm～20 cm，密度3700 株～4400 株/667 m</w:t>
      </w:r>
      <w:r>
        <w:rPr>
          <w:rFonts w:ascii="Times New Roman"/>
          <w:vertAlign w:val="superscript"/>
        </w:rPr>
        <w:t>2</w:t>
      </w:r>
      <w:r>
        <w:rPr>
          <w:rFonts w:ascii="Times New Roman"/>
        </w:rPr>
        <w:t>，播深10 cm～12 cm。</w:t>
      </w:r>
    </w:p>
    <w:p>
      <w:pPr>
        <w:pStyle w:val="105"/>
        <w:spacing w:before="156" w:after="156"/>
        <w:rPr>
          <w:rFonts w:hint="eastAsia"/>
        </w:rPr>
      </w:pPr>
      <w:r>
        <w:rPr>
          <w:rFonts w:hint="eastAsia"/>
        </w:rPr>
        <w:t>滴灌带铺设</w:t>
      </w:r>
    </w:p>
    <w:p>
      <w:pPr>
        <w:pStyle w:val="56"/>
        <w:ind w:firstLine="420"/>
        <w:rPr>
          <w:rFonts w:hint="eastAsia"/>
        </w:rPr>
      </w:pPr>
      <w:r>
        <w:rPr>
          <w:rFonts w:hint="eastAsia"/>
        </w:rPr>
        <w:t>宽垄双行种植模式滴灌带铺设在小行中间，一带两行。单垄单行种植模式，滴灌带铺设在垄顶中部。最后将滴灌带连接到辅管，封堵滴灌带末端。</w:t>
      </w:r>
    </w:p>
    <w:p>
      <w:pPr>
        <w:pStyle w:val="105"/>
        <w:spacing w:before="156" w:after="156"/>
        <w:rPr>
          <w:rFonts w:hint="eastAsia"/>
        </w:rPr>
      </w:pPr>
      <w:r>
        <w:t>中耕培土</w:t>
      </w:r>
    </w:p>
    <w:p>
      <w:pPr>
        <w:pStyle w:val="56"/>
        <w:ind w:firstLine="420"/>
        <w:rPr>
          <w:rFonts w:ascii="Times New Roman"/>
        </w:rPr>
      </w:pPr>
      <w:r>
        <w:rPr>
          <w:rFonts w:ascii="Times New Roman"/>
        </w:rPr>
        <w:t>播种20 d后，要及时上土压膜，上土厚度3 cm～5 cm，要将地膜彻底掩埋。漏培或地头边角要进行人工培土。单垄双行种植模式的垄顶宽50 cm～60 cm，垄底宽100 cm～110 cm。单垄单行种植模式垄顶宽30 cm，垄底宽90 cm，种薯到垄顶高不低于16 cm。</w:t>
      </w:r>
    </w:p>
    <w:p>
      <w:pPr>
        <w:pStyle w:val="104"/>
        <w:spacing w:before="312" w:after="312"/>
        <w:rPr>
          <w:rFonts w:hint="eastAsia"/>
        </w:rPr>
      </w:pPr>
      <w:bookmarkStart w:id="61" w:name="_Toc162603975"/>
      <w:bookmarkStart w:id="62" w:name="_Toc162603609"/>
      <w:r>
        <w:t>田间管理</w:t>
      </w:r>
      <w:bookmarkEnd w:id="61"/>
      <w:bookmarkEnd w:id="62"/>
    </w:p>
    <w:p>
      <w:pPr>
        <w:pStyle w:val="105"/>
        <w:spacing w:before="156" w:after="156"/>
        <w:rPr>
          <w:rFonts w:hint="eastAsia"/>
        </w:rPr>
      </w:pPr>
      <w:r>
        <w:rPr>
          <w:rFonts w:hint="eastAsia"/>
        </w:rPr>
        <w:t>灌溉</w:t>
      </w:r>
    </w:p>
    <w:p>
      <w:pPr>
        <w:pStyle w:val="56"/>
        <w:ind w:firstLine="420"/>
        <w:rPr>
          <w:rFonts w:ascii="Times New Roman"/>
        </w:rPr>
      </w:pPr>
      <w:r>
        <w:rPr>
          <w:rFonts w:ascii="Times New Roman"/>
        </w:rPr>
        <w:t>根据山西省马铃薯不同种植区域降水情况，马铃薯膜下滴灌全生育期灌溉定额一般为100 m</w:t>
      </w:r>
      <w:r>
        <w:rPr>
          <w:rFonts w:ascii="Times New Roman"/>
          <w:vertAlign w:val="superscript"/>
        </w:rPr>
        <w:t>3</w:t>
      </w:r>
      <w:r>
        <w:rPr>
          <w:rFonts w:ascii="Times New Roman"/>
        </w:rPr>
        <w:t>～150 m</w:t>
      </w:r>
      <w:r>
        <w:rPr>
          <w:rFonts w:ascii="Times New Roman"/>
          <w:vertAlign w:val="superscript"/>
        </w:rPr>
        <w:t>3</w:t>
      </w:r>
      <w:r>
        <w:rPr>
          <w:rFonts w:ascii="Times New Roman"/>
        </w:rPr>
        <w:t>/667 m</w:t>
      </w:r>
      <w:r>
        <w:rPr>
          <w:rFonts w:ascii="Times New Roman"/>
          <w:vertAlign w:val="superscript"/>
        </w:rPr>
        <w:t>2</w:t>
      </w:r>
      <w:r>
        <w:rPr>
          <w:rFonts w:ascii="Times New Roman"/>
        </w:rPr>
        <w:t>。马铃薯生育期灌溉8次～11次，每7 d～10 d为一个灌溉周期，单次灌水8 m</w:t>
      </w:r>
      <w:r>
        <w:rPr>
          <w:rFonts w:ascii="Times New Roman"/>
          <w:vertAlign w:val="superscript"/>
        </w:rPr>
        <w:t>3</w:t>
      </w:r>
      <w:r>
        <w:rPr>
          <w:rFonts w:ascii="Times New Roman"/>
        </w:rPr>
        <w:t>～20 m</w:t>
      </w:r>
      <w:r>
        <w:rPr>
          <w:rFonts w:ascii="Times New Roman"/>
          <w:vertAlign w:val="superscript"/>
        </w:rPr>
        <w:t>3</w:t>
      </w:r>
      <w:r>
        <w:rPr>
          <w:rFonts w:ascii="Times New Roman"/>
        </w:rPr>
        <w:t>/667 m</w:t>
      </w:r>
      <w:r>
        <w:rPr>
          <w:rFonts w:ascii="Times New Roman"/>
          <w:vertAlign w:val="superscript"/>
        </w:rPr>
        <w:t>2</w:t>
      </w:r>
      <w:r>
        <w:rPr>
          <w:rFonts w:ascii="Times New Roman"/>
        </w:rPr>
        <w:t>。幼苗期浇水1次</w:t>
      </w:r>
      <w:r>
        <w:rPr>
          <w:rFonts w:hint="eastAsia" w:ascii="Times New Roman"/>
          <w:lang w:eastAsia="zh-CN"/>
        </w:rPr>
        <w:t>，</w:t>
      </w:r>
      <w:r>
        <w:rPr>
          <w:rFonts w:ascii="Times New Roman"/>
        </w:rPr>
        <w:t>浇水8 m</w:t>
      </w:r>
      <w:r>
        <w:rPr>
          <w:rFonts w:ascii="Times New Roman"/>
          <w:vertAlign w:val="superscript"/>
        </w:rPr>
        <w:t>3</w:t>
      </w:r>
      <w:r>
        <w:rPr>
          <w:rFonts w:ascii="Times New Roman"/>
        </w:rPr>
        <w:t>～10 m</w:t>
      </w:r>
      <w:r>
        <w:rPr>
          <w:rFonts w:ascii="Times New Roman"/>
          <w:vertAlign w:val="superscript"/>
        </w:rPr>
        <w:t>3</w:t>
      </w:r>
      <w:r>
        <w:rPr>
          <w:rFonts w:ascii="Times New Roman"/>
        </w:rPr>
        <w:t>/66</w:t>
      </w:r>
      <w:r>
        <w:rPr>
          <w:rFonts w:hint="eastAsia" w:ascii="Times New Roman"/>
          <w:lang w:val="en-US" w:eastAsia="zh-CN"/>
        </w:rPr>
        <w:t>7</w:t>
      </w:r>
      <w:r>
        <w:rPr>
          <w:rFonts w:ascii="Times New Roman"/>
        </w:rPr>
        <w:t xml:space="preserve"> m</w:t>
      </w:r>
      <w:r>
        <w:rPr>
          <w:rFonts w:ascii="Times New Roman"/>
          <w:vertAlign w:val="superscript"/>
        </w:rPr>
        <w:t>2</w:t>
      </w:r>
      <w:r>
        <w:rPr>
          <w:rFonts w:ascii="Times New Roman"/>
        </w:rPr>
        <w:t>。现蕾期浇水1次，浇水10 m</w:t>
      </w:r>
      <w:r>
        <w:rPr>
          <w:rFonts w:ascii="Times New Roman"/>
          <w:vertAlign w:val="superscript"/>
        </w:rPr>
        <w:t>3</w:t>
      </w:r>
      <w:r>
        <w:rPr>
          <w:rFonts w:ascii="Times New Roman"/>
        </w:rPr>
        <w:t>～13 m</w:t>
      </w:r>
      <w:r>
        <w:rPr>
          <w:rFonts w:ascii="Times New Roman"/>
          <w:vertAlign w:val="superscript"/>
        </w:rPr>
        <w:t>3</w:t>
      </w:r>
      <w:r>
        <w:rPr>
          <w:rFonts w:ascii="Times New Roman"/>
        </w:rPr>
        <w:t>/66</w:t>
      </w:r>
      <w:r>
        <w:rPr>
          <w:rFonts w:hint="eastAsia" w:ascii="Times New Roman"/>
          <w:lang w:val="en-US" w:eastAsia="zh-CN"/>
        </w:rPr>
        <w:t>7</w:t>
      </w:r>
      <w:r>
        <w:rPr>
          <w:rFonts w:ascii="Times New Roman"/>
        </w:rPr>
        <w:t xml:space="preserve"> m</w:t>
      </w:r>
      <w:r>
        <w:rPr>
          <w:rFonts w:hint="eastAsia" w:ascii="Times New Roman"/>
          <w:vertAlign w:val="superscript"/>
          <w:lang w:val="en-US" w:eastAsia="zh-CN"/>
        </w:rPr>
        <w:t>2</w:t>
      </w:r>
      <w:r>
        <w:rPr>
          <w:rFonts w:ascii="Times New Roman"/>
        </w:rPr>
        <w:t>。开花结薯期浇水2次～3次，每次浇水13 m</w:t>
      </w:r>
      <w:r>
        <w:rPr>
          <w:rFonts w:ascii="Times New Roman"/>
          <w:vertAlign w:val="superscript"/>
        </w:rPr>
        <w:t>3</w:t>
      </w:r>
      <w:r>
        <w:rPr>
          <w:rFonts w:ascii="Times New Roman"/>
        </w:rPr>
        <w:t>～15 m</w:t>
      </w:r>
      <w:r>
        <w:rPr>
          <w:rFonts w:ascii="Times New Roman"/>
          <w:vertAlign w:val="superscript"/>
        </w:rPr>
        <w:t>3</w:t>
      </w:r>
      <w:r>
        <w:rPr>
          <w:rFonts w:ascii="Times New Roman"/>
        </w:rPr>
        <w:t>/66</w:t>
      </w:r>
      <w:r>
        <w:rPr>
          <w:rFonts w:hint="eastAsia" w:ascii="Times New Roman"/>
          <w:lang w:val="en-US" w:eastAsia="zh-CN"/>
        </w:rPr>
        <w:t>7</w:t>
      </w:r>
      <w:r>
        <w:rPr>
          <w:rFonts w:ascii="Times New Roman"/>
        </w:rPr>
        <w:t xml:space="preserve"> m</w:t>
      </w:r>
      <w:r>
        <w:rPr>
          <w:rFonts w:ascii="Times New Roman"/>
          <w:vertAlign w:val="superscript"/>
        </w:rPr>
        <w:t>2</w:t>
      </w:r>
      <w:r>
        <w:rPr>
          <w:rFonts w:ascii="Times New Roman"/>
        </w:rPr>
        <w:t>。块茎膨大期浇水3次～4次，每次浇水15 m</w:t>
      </w:r>
      <w:r>
        <w:rPr>
          <w:rFonts w:ascii="Times New Roman"/>
          <w:vertAlign w:val="superscript"/>
        </w:rPr>
        <w:t>3</w:t>
      </w:r>
      <w:r>
        <w:rPr>
          <w:rFonts w:ascii="Times New Roman"/>
        </w:rPr>
        <w:t>～20 m</w:t>
      </w:r>
      <w:r>
        <w:rPr>
          <w:rFonts w:ascii="Times New Roman"/>
          <w:vertAlign w:val="superscript"/>
        </w:rPr>
        <w:t>3</w:t>
      </w:r>
      <w:r>
        <w:rPr>
          <w:rFonts w:ascii="Times New Roman"/>
        </w:rPr>
        <w:t>/66</w:t>
      </w:r>
      <w:r>
        <w:rPr>
          <w:rFonts w:hint="eastAsia" w:ascii="Times New Roman"/>
          <w:lang w:val="en-US" w:eastAsia="zh-CN"/>
        </w:rPr>
        <w:t>7</w:t>
      </w:r>
      <w:r>
        <w:rPr>
          <w:rFonts w:ascii="Times New Roman"/>
        </w:rPr>
        <w:t xml:space="preserve"> m</w:t>
      </w:r>
      <w:r>
        <w:rPr>
          <w:rFonts w:ascii="Times New Roman"/>
          <w:vertAlign w:val="superscript"/>
        </w:rPr>
        <w:t>2</w:t>
      </w:r>
      <w:r>
        <w:rPr>
          <w:rFonts w:ascii="Times New Roman"/>
        </w:rPr>
        <w:t>。淀粉积累期浇水1次～2次，每次浇水8 m</w:t>
      </w:r>
      <w:r>
        <w:rPr>
          <w:rFonts w:ascii="Times New Roman"/>
          <w:vertAlign w:val="superscript"/>
        </w:rPr>
        <w:t>3</w:t>
      </w:r>
      <w:r>
        <w:rPr>
          <w:rFonts w:ascii="Times New Roman"/>
        </w:rPr>
        <w:t>～10 m</w:t>
      </w:r>
      <w:r>
        <w:rPr>
          <w:rFonts w:ascii="Times New Roman"/>
          <w:vertAlign w:val="superscript"/>
        </w:rPr>
        <w:t>3</w:t>
      </w:r>
      <w:r>
        <w:rPr>
          <w:rFonts w:ascii="Times New Roman"/>
        </w:rPr>
        <w:t>/66</w:t>
      </w:r>
      <w:r>
        <w:rPr>
          <w:rFonts w:hint="eastAsia" w:ascii="Times New Roman"/>
          <w:lang w:val="en-US" w:eastAsia="zh-CN"/>
        </w:rPr>
        <w:t>7</w:t>
      </w:r>
      <w:r>
        <w:rPr>
          <w:rFonts w:ascii="Times New Roman"/>
        </w:rPr>
        <w:t xml:space="preserve"> m</w:t>
      </w:r>
      <w:r>
        <w:rPr>
          <w:rFonts w:ascii="Times New Roman"/>
          <w:vertAlign w:val="superscript"/>
        </w:rPr>
        <w:t>2</w:t>
      </w:r>
      <w:r>
        <w:rPr>
          <w:rFonts w:ascii="Times New Roman"/>
        </w:rPr>
        <w:t>。具体灌溉时间和灌水量，要根据不同品种、不同生育阶段、自然降水和土壤墒情变化动态调整。</w:t>
      </w:r>
    </w:p>
    <w:p>
      <w:pPr>
        <w:pStyle w:val="105"/>
        <w:spacing w:before="156" w:after="156"/>
        <w:rPr>
          <w:rFonts w:hint="eastAsia"/>
        </w:rPr>
      </w:pPr>
      <w:r>
        <w:t>施肥</w:t>
      </w:r>
    </w:p>
    <w:p>
      <w:pPr>
        <w:pStyle w:val="65"/>
        <w:spacing w:before="156" w:after="156"/>
        <w:rPr>
          <w:rFonts w:hint="eastAsia"/>
        </w:rPr>
      </w:pPr>
      <w:r>
        <w:t>基肥</w:t>
      </w:r>
    </w:p>
    <w:p>
      <w:pPr>
        <w:pStyle w:val="56"/>
        <w:ind w:firstLine="420"/>
        <w:rPr>
          <w:rFonts w:ascii="Times New Roman"/>
        </w:rPr>
      </w:pPr>
      <w:r>
        <w:rPr>
          <w:rFonts w:ascii="Times New Roman"/>
        </w:rPr>
        <w:t>每667 m</w:t>
      </w:r>
      <w:r>
        <w:rPr>
          <w:rFonts w:hint="eastAsia" w:ascii="Times New Roman"/>
          <w:vertAlign w:val="superscript"/>
          <w:lang w:val="en-US" w:eastAsia="zh-CN"/>
        </w:rPr>
        <w:t>2</w:t>
      </w:r>
      <w:r>
        <w:rPr>
          <w:rFonts w:ascii="Times New Roman"/>
        </w:rPr>
        <w:t>施腐熟的优质有机肥3000 kg +40%硝酸钙镁20 kg +54%复合肥(N:P:K=18:18:18)50 kg～80 ㎏，播种前均匀撒施，翻入地下，深度20 cm。</w:t>
      </w:r>
    </w:p>
    <w:p>
      <w:pPr>
        <w:pStyle w:val="65"/>
        <w:spacing w:before="156" w:after="156"/>
        <w:rPr>
          <w:rFonts w:hint="eastAsia"/>
        </w:rPr>
      </w:pPr>
      <w:r>
        <w:t>追肥</w:t>
      </w:r>
    </w:p>
    <w:p>
      <w:pPr>
        <w:pStyle w:val="56"/>
        <w:ind w:firstLine="420"/>
        <w:rPr>
          <w:rFonts w:ascii="Times New Roman"/>
        </w:rPr>
      </w:pPr>
      <w:r>
        <w:rPr>
          <w:rFonts w:ascii="Times New Roman"/>
        </w:rPr>
        <w:t>追肥选用水溶肥，采用水肥一体化管理，追肥前先滴清水1 h，加入肥料，追肥完成后滴清水1 h，冲洗管道。幼苗期追施（尿素10 kg+20%黄腐酸钾5 kg）/667 m</w:t>
      </w:r>
      <w:r>
        <w:rPr>
          <w:rFonts w:ascii="Times New Roman"/>
          <w:vertAlign w:val="superscript"/>
        </w:rPr>
        <w:t>2</w:t>
      </w:r>
      <w:r>
        <w:rPr>
          <w:rFonts w:ascii="Times New Roman"/>
        </w:rPr>
        <w:t>，现蕾期追施54%的复合肥（18:18:18）10 kg/667m</w:t>
      </w:r>
      <w:r>
        <w:rPr>
          <w:rFonts w:ascii="Times New Roman"/>
          <w:vertAlign w:val="superscript"/>
        </w:rPr>
        <w:t>2</w:t>
      </w:r>
      <w:r>
        <w:rPr>
          <w:rFonts w:ascii="Times New Roman"/>
        </w:rPr>
        <w:t>,开花期追施硝酸钾10 kg～15 kg/667 m</w:t>
      </w:r>
      <w:r>
        <w:rPr>
          <w:rFonts w:ascii="Times New Roman"/>
          <w:vertAlign w:val="superscript"/>
        </w:rPr>
        <w:t>2</w:t>
      </w:r>
      <w:r>
        <w:rPr>
          <w:rFonts w:ascii="Times New Roman"/>
        </w:rPr>
        <w:t>，结薯期、块茎膨大期追施高钾水溶肥10 kg～15 kg/667 m</w:t>
      </w:r>
      <w:r>
        <w:rPr>
          <w:rFonts w:hint="eastAsia" w:ascii="Times New Roman"/>
          <w:vertAlign w:val="superscript"/>
          <w:lang w:val="en-US" w:eastAsia="zh-CN"/>
        </w:rPr>
        <w:t>2</w:t>
      </w:r>
      <w:r>
        <w:rPr>
          <w:rFonts w:ascii="Times New Roman"/>
        </w:rPr>
        <w:t>3～4次，淀粉积累期酌情追施</w:t>
      </w:r>
      <w:r>
        <w:rPr>
          <w:rFonts w:hint="eastAsia" w:ascii="Times New Roman"/>
          <w:lang w:eastAsia="zh-CN"/>
        </w:rPr>
        <w:t>（</w:t>
      </w:r>
      <w:r>
        <w:rPr>
          <w:rFonts w:ascii="Times New Roman"/>
        </w:rPr>
        <w:t>多肽肥10 kg～15 kg+磷酸二氢钾2 kg</w:t>
      </w:r>
      <w:r>
        <w:rPr>
          <w:rFonts w:hint="eastAsia" w:ascii="Times New Roman"/>
          <w:lang w:eastAsia="zh-CN"/>
        </w:rPr>
        <w:t>）</w:t>
      </w:r>
      <w:r>
        <w:rPr>
          <w:rFonts w:ascii="Times New Roman"/>
        </w:rPr>
        <w:t>/667 m</w:t>
      </w:r>
      <w:r>
        <w:rPr>
          <w:rFonts w:ascii="Times New Roman"/>
          <w:vertAlign w:val="superscript"/>
        </w:rPr>
        <w:t>2</w:t>
      </w:r>
      <w:r>
        <w:rPr>
          <w:rFonts w:ascii="Times New Roman"/>
        </w:rPr>
        <w:t>。</w:t>
      </w:r>
    </w:p>
    <w:p>
      <w:pPr>
        <w:pStyle w:val="105"/>
        <w:spacing w:before="156" w:after="156"/>
        <w:rPr>
          <w:rFonts w:hint="eastAsia"/>
        </w:rPr>
      </w:pPr>
      <w:r>
        <w:rPr>
          <w:rFonts w:hint="eastAsia"/>
        </w:rPr>
        <w:t>病虫害防控</w:t>
      </w:r>
    </w:p>
    <w:p>
      <w:pPr>
        <w:pStyle w:val="65"/>
        <w:spacing w:before="156" w:after="156"/>
        <w:rPr>
          <w:rFonts w:hint="eastAsia"/>
        </w:rPr>
      </w:pPr>
      <w:r>
        <w:rPr>
          <w:rFonts w:hint="eastAsia"/>
        </w:rPr>
        <w:t xml:space="preserve">防治原则   </w:t>
      </w:r>
    </w:p>
    <w:p>
      <w:pPr>
        <w:pStyle w:val="56"/>
        <w:ind w:firstLine="420"/>
        <w:rPr>
          <w:rFonts w:hint="eastAsia"/>
        </w:rPr>
      </w:pPr>
      <w:r>
        <w:rPr>
          <w:rFonts w:hint="eastAsia"/>
        </w:rPr>
        <w:t xml:space="preserve">坚持“预防为主，综合防治”的植保方针。优先使用农业、物理、生物措施防治，化学防治为辅。 </w:t>
      </w:r>
    </w:p>
    <w:p>
      <w:pPr>
        <w:pStyle w:val="65"/>
        <w:spacing w:before="156" w:after="156"/>
        <w:rPr>
          <w:rFonts w:hint="eastAsia"/>
        </w:rPr>
      </w:pPr>
      <w:r>
        <w:rPr>
          <w:rFonts w:hint="eastAsia"/>
        </w:rPr>
        <w:t>防治对象</w:t>
      </w:r>
    </w:p>
    <w:p>
      <w:pPr>
        <w:pStyle w:val="56"/>
        <w:ind w:firstLine="420"/>
        <w:rPr>
          <w:rFonts w:ascii="Times New Roman"/>
        </w:rPr>
      </w:pPr>
      <w:r>
        <w:rPr>
          <w:rFonts w:ascii="Times New Roman"/>
        </w:rPr>
        <w:t>危害马铃薯的主要病害有马铃薯晚疫病、早疫病、枯萎病、黄萎病、环腐病、黑胫病、黑痣病、疮痂病、干腐病、软腐病，虫害有蚜虫、二十八星瓢虫、豆芫菁、双斑萤叶甲、小地老虎、蛴螬、金针虫、蝼蛄等。化学防治参照GB/T 8321（所有部分）、NY/T 2383，选用高效低毒低残留的经济有效药剂，做到治病不见病。农药使用严格执行GB/T 8321（所有部分）和NY/T 1276的规定，选用“一药两治”、“一喷三防”等方法，最大限度降低病虫害防治成本。</w:t>
      </w:r>
    </w:p>
    <w:p>
      <w:pPr>
        <w:pStyle w:val="65"/>
        <w:spacing w:before="156" w:after="156"/>
        <w:rPr>
          <w:rFonts w:hint="eastAsia"/>
        </w:rPr>
      </w:pPr>
      <w:r>
        <w:rPr>
          <w:rFonts w:hint="eastAsia"/>
        </w:rPr>
        <w:t>地下害虫</w:t>
      </w:r>
    </w:p>
    <w:p>
      <w:pPr>
        <w:pStyle w:val="56"/>
        <w:ind w:firstLine="420"/>
        <w:rPr>
          <w:rFonts w:ascii="Times New Roman"/>
        </w:rPr>
      </w:pPr>
      <w:r>
        <w:rPr>
          <w:rFonts w:ascii="Times New Roman"/>
        </w:rPr>
        <w:t>整地时，将6%的毒辛颗粒均匀撒施翻入地下防治小地老虎、蛴螬、金针虫、蝼蛄等地下害虫，也可用50%噻虫嗪水分散粒剂或45%辛硫磷乳油通过滴灌进行防治。</w:t>
      </w:r>
    </w:p>
    <w:p>
      <w:pPr>
        <w:pStyle w:val="65"/>
        <w:spacing w:before="156" w:after="156"/>
        <w:rPr>
          <w:rFonts w:hint="eastAsia"/>
        </w:rPr>
      </w:pPr>
      <w:r>
        <w:rPr>
          <w:rFonts w:hint="eastAsia"/>
        </w:rPr>
        <w:t xml:space="preserve">土传病害 </w:t>
      </w:r>
    </w:p>
    <w:p>
      <w:pPr>
        <w:pStyle w:val="56"/>
        <w:ind w:firstLine="420"/>
        <w:rPr>
          <w:rFonts w:ascii="Times New Roman"/>
        </w:rPr>
      </w:pPr>
      <w:r>
        <w:rPr>
          <w:rFonts w:ascii="Times New Roman"/>
        </w:rPr>
        <w:t>黑痣病、疮痂病、干腐病、软腐病等土传病害用25%嘧菌酯悬浮剂、25%咯菌腈悬浮种衣剂或生物菌剂有效活菌数</w:t>
      </w:r>
      <w:r>
        <w:rPr>
          <w:rFonts w:hint="eastAsia" w:hAnsi="宋体"/>
        </w:rPr>
        <w:t>≥</w:t>
      </w:r>
      <w:r>
        <w:rPr>
          <w:rFonts w:ascii="Times New Roman"/>
        </w:rPr>
        <w:t>500 亿/g枯草芽孢杆菌（全水溶）、有效活菌数</w:t>
      </w:r>
      <w:r>
        <w:rPr>
          <w:rFonts w:hint="eastAsia" w:hAnsi="宋体"/>
        </w:rPr>
        <w:t>≥</w:t>
      </w:r>
      <w:r>
        <w:rPr>
          <w:rFonts w:ascii="Times New Roman"/>
        </w:rPr>
        <w:t>1000 亿/g地衣芽孢杆菌（全水溶）进行防治。</w:t>
      </w:r>
    </w:p>
    <w:p>
      <w:pPr>
        <w:pStyle w:val="104"/>
        <w:spacing w:before="312" w:after="312"/>
        <w:rPr>
          <w:rFonts w:hint="eastAsia"/>
        </w:rPr>
      </w:pPr>
      <w:bookmarkStart w:id="63" w:name="_Toc162603610"/>
      <w:bookmarkStart w:id="64" w:name="_Toc162603976"/>
      <w:r>
        <w:rPr>
          <w:rFonts w:hint="eastAsia"/>
        </w:rPr>
        <w:t>滴灌设备管理维护</w:t>
      </w:r>
      <w:bookmarkEnd w:id="63"/>
      <w:bookmarkEnd w:id="64"/>
    </w:p>
    <w:p>
      <w:pPr>
        <w:pStyle w:val="105"/>
        <w:spacing w:before="156" w:after="156"/>
        <w:rPr>
          <w:rFonts w:hint="eastAsia"/>
        </w:rPr>
      </w:pPr>
      <w:r>
        <w:rPr>
          <w:rFonts w:hint="eastAsia"/>
        </w:rPr>
        <w:t>防堵</w:t>
      </w:r>
    </w:p>
    <w:p>
      <w:pPr>
        <w:pStyle w:val="56"/>
        <w:ind w:firstLine="420"/>
        <w:rPr>
          <w:rFonts w:hint="eastAsia"/>
        </w:rPr>
      </w:pPr>
      <w:r>
        <w:rPr>
          <w:rFonts w:hint="eastAsia"/>
        </w:rPr>
        <w:t>滴灌时逐一放开滴灌带和主管的尾部，加大流量冲洗。定期清理过滤装置。随时检查系统，确保完好。</w:t>
      </w:r>
    </w:p>
    <w:p>
      <w:pPr>
        <w:pStyle w:val="105"/>
        <w:spacing w:before="156" w:after="156"/>
        <w:rPr>
          <w:rFonts w:hint="eastAsia"/>
        </w:rPr>
      </w:pPr>
      <w:r>
        <w:rPr>
          <w:rFonts w:hint="eastAsia"/>
        </w:rPr>
        <w:t>防漏</w:t>
      </w:r>
    </w:p>
    <w:p>
      <w:pPr>
        <w:pStyle w:val="56"/>
        <w:ind w:firstLine="420"/>
        <w:rPr>
          <w:rFonts w:hint="eastAsia"/>
        </w:rPr>
      </w:pPr>
      <w:r>
        <w:rPr>
          <w:rFonts w:hint="eastAsia"/>
        </w:rPr>
        <w:t>在安装和田间操作时，谨防划伤、戳破滴灌带或主管。</w:t>
      </w:r>
    </w:p>
    <w:p>
      <w:pPr>
        <w:pStyle w:val="104"/>
        <w:spacing w:before="312" w:after="312"/>
        <w:rPr>
          <w:rFonts w:hint="eastAsia"/>
        </w:rPr>
      </w:pPr>
      <w:bookmarkStart w:id="65" w:name="_Toc162603611"/>
      <w:bookmarkStart w:id="66" w:name="_Toc162603977"/>
      <w:r>
        <w:rPr>
          <w:rFonts w:hint="eastAsia"/>
        </w:rPr>
        <w:t>杀秧</w:t>
      </w:r>
      <w:bookmarkEnd w:id="65"/>
      <w:bookmarkEnd w:id="66"/>
    </w:p>
    <w:p>
      <w:pPr>
        <w:pStyle w:val="56"/>
        <w:ind w:firstLine="420"/>
        <w:rPr>
          <w:rFonts w:ascii="Times New Roman"/>
        </w:rPr>
      </w:pPr>
      <w:r>
        <w:rPr>
          <w:rFonts w:ascii="Times New Roman"/>
        </w:rPr>
        <w:t>在70 %的茎叶枯黄或收获前7 d机械杀秧。</w:t>
      </w:r>
    </w:p>
    <w:p>
      <w:pPr>
        <w:pStyle w:val="104"/>
        <w:spacing w:before="312" w:after="312"/>
        <w:rPr>
          <w:rFonts w:hint="eastAsia"/>
        </w:rPr>
      </w:pPr>
      <w:bookmarkStart w:id="67" w:name="_Toc162603612"/>
      <w:bookmarkStart w:id="68" w:name="_Toc162603978"/>
      <w:r>
        <w:t>收获</w:t>
      </w:r>
      <w:bookmarkEnd w:id="67"/>
      <w:bookmarkEnd w:id="68"/>
    </w:p>
    <w:p>
      <w:pPr>
        <w:pStyle w:val="56"/>
        <w:ind w:firstLine="420"/>
        <w:rPr>
          <w:rFonts w:hint="eastAsia"/>
        </w:rPr>
      </w:pPr>
      <w:r>
        <w:rPr>
          <w:rFonts w:hint="eastAsia"/>
        </w:rPr>
        <w:t>选择晴好天气机械收获，人工分级装袋。</w:t>
      </w:r>
    </w:p>
    <w:p>
      <w:pPr>
        <w:pStyle w:val="104"/>
        <w:spacing w:before="312" w:after="312"/>
        <w:rPr>
          <w:rFonts w:hint="eastAsia"/>
        </w:rPr>
      </w:pPr>
      <w:bookmarkStart w:id="69" w:name="_Toc162603613"/>
      <w:bookmarkStart w:id="70" w:name="_Toc162603979"/>
      <w:r>
        <w:t>生产档案</w:t>
      </w:r>
      <w:bookmarkEnd w:id="69"/>
      <w:bookmarkEnd w:id="70"/>
    </w:p>
    <w:p>
      <w:pPr>
        <w:pStyle w:val="56"/>
        <w:ind w:firstLine="420"/>
        <w:rPr>
          <w:rFonts w:hint="eastAsia"/>
        </w:rPr>
      </w:pPr>
      <w:r>
        <w:rPr>
          <w:rFonts w:hint="eastAsia"/>
        </w:rPr>
        <w:t>建立田间生产档案，包括种薯处理、播种、追肥、田间管理、病虫害防控、收获等。生产档案应保存两年以上。</w:t>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198"/>
        <w:rPr>
          <w:rFonts w:hint="eastAsia"/>
          <w:vanish w:val="0"/>
        </w:rPr>
      </w:pPr>
      <w:bookmarkStart w:id="71" w:name="BookMark5"/>
    </w:p>
    <w:p>
      <w:pPr>
        <w:pStyle w:val="199"/>
        <w:rPr>
          <w:rFonts w:hint="eastAsia"/>
          <w:vanish w:val="0"/>
        </w:rPr>
      </w:pPr>
    </w:p>
    <w:p>
      <w:pPr>
        <w:pStyle w:val="76"/>
        <w:spacing w:after="156"/>
        <w:rPr>
          <w:rFonts w:hint="eastAsia"/>
        </w:rPr>
      </w:pPr>
      <w:r>
        <w:br w:type="textWrapping"/>
      </w:r>
      <w:bookmarkStart w:id="72" w:name="_Toc162603614"/>
      <w:bookmarkStart w:id="73" w:name="_Toc162603980"/>
      <w:r>
        <w:rPr>
          <w:rFonts w:hint="eastAsia"/>
        </w:rPr>
        <w:t>（资料性）</w:t>
      </w:r>
      <w:r>
        <w:br w:type="textWrapping"/>
      </w:r>
      <w:r>
        <w:rPr>
          <w:rFonts w:hint="eastAsia"/>
        </w:rPr>
        <w:t>马铃薯膜下滴灌技术生产档案</w:t>
      </w:r>
      <w:bookmarkEnd w:id="72"/>
      <w:bookmarkEnd w:id="73"/>
    </w:p>
    <w:p>
      <w:pPr>
        <w:pStyle w:val="78"/>
        <w:spacing w:before="156" w:after="156"/>
        <w:rPr>
          <w:rFonts w:hint="eastAsia"/>
        </w:rPr>
      </w:pPr>
      <w:r>
        <w:rPr>
          <w:rFonts w:hint="eastAsia"/>
        </w:rPr>
        <w:t>马铃薯膜下滴灌技术生产档案</w:t>
      </w:r>
    </w:p>
    <w:p>
      <w:pPr>
        <w:pStyle w:val="56"/>
        <w:ind w:firstLine="420"/>
        <w:jc w:val="center"/>
        <w:rPr>
          <w:rFonts w:hint="eastAsia"/>
        </w:rPr>
      </w:pPr>
      <w:r>
        <w:rPr>
          <w:rFonts w:hint="eastAsia"/>
        </w:rPr>
        <w:t>马铃薯膜下滴灌技术生产档案</w:t>
      </w:r>
    </w:p>
    <w:tbl>
      <w:tblPr>
        <w:tblStyle w:val="27"/>
        <w:tblW w:w="9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200"/>
        <w:gridCol w:w="667"/>
        <w:gridCol w:w="617"/>
        <w:gridCol w:w="725"/>
        <w:gridCol w:w="802"/>
        <w:gridCol w:w="694"/>
        <w:gridCol w:w="725"/>
        <w:gridCol w:w="709"/>
        <w:gridCol w:w="701"/>
        <w:gridCol w:w="817"/>
        <w:gridCol w:w="582"/>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710" w:type="dxa"/>
            <w:vAlign w:val="center"/>
          </w:tcPr>
          <w:p>
            <w:pPr>
              <w:pStyle w:val="56"/>
              <w:spacing w:line="360" w:lineRule="auto"/>
              <w:ind w:firstLine="0" w:firstLineChars="0"/>
              <w:jc w:val="center"/>
              <w:rPr>
                <w:sz w:val="18"/>
                <w:szCs w:val="18"/>
              </w:rPr>
            </w:pPr>
            <w:r>
              <w:rPr>
                <w:rFonts w:hint="eastAsia"/>
                <w:sz w:val="18"/>
                <w:szCs w:val="18"/>
              </w:rPr>
              <w:t>整地</w:t>
            </w:r>
          </w:p>
        </w:tc>
        <w:tc>
          <w:tcPr>
            <w:tcW w:w="1200" w:type="dxa"/>
            <w:vAlign w:val="center"/>
          </w:tcPr>
          <w:p>
            <w:pPr>
              <w:pStyle w:val="56"/>
              <w:spacing w:line="360" w:lineRule="auto"/>
              <w:ind w:firstLine="0" w:firstLineChars="0"/>
              <w:jc w:val="center"/>
              <w:rPr>
                <w:sz w:val="18"/>
                <w:szCs w:val="18"/>
              </w:rPr>
            </w:pPr>
            <w:r>
              <w:rPr>
                <w:rFonts w:hint="eastAsia"/>
                <w:sz w:val="18"/>
                <w:szCs w:val="18"/>
              </w:rPr>
              <w:t>品种及种薯级别</w:t>
            </w:r>
          </w:p>
        </w:tc>
        <w:tc>
          <w:tcPr>
            <w:tcW w:w="667" w:type="dxa"/>
            <w:vAlign w:val="center"/>
          </w:tcPr>
          <w:p>
            <w:pPr>
              <w:pStyle w:val="56"/>
              <w:spacing w:line="360" w:lineRule="auto"/>
              <w:ind w:firstLine="0" w:firstLineChars="0"/>
              <w:jc w:val="center"/>
              <w:rPr>
                <w:sz w:val="18"/>
                <w:szCs w:val="18"/>
              </w:rPr>
            </w:pPr>
            <w:r>
              <w:rPr>
                <w:rFonts w:hint="eastAsia"/>
                <w:sz w:val="18"/>
                <w:szCs w:val="18"/>
              </w:rPr>
              <w:t>种薯处理</w:t>
            </w:r>
          </w:p>
        </w:tc>
        <w:tc>
          <w:tcPr>
            <w:tcW w:w="617" w:type="dxa"/>
            <w:vAlign w:val="center"/>
          </w:tcPr>
          <w:p>
            <w:pPr>
              <w:pStyle w:val="56"/>
              <w:spacing w:line="360" w:lineRule="auto"/>
              <w:ind w:firstLine="0" w:firstLineChars="0"/>
              <w:jc w:val="center"/>
              <w:rPr>
                <w:sz w:val="18"/>
                <w:szCs w:val="18"/>
              </w:rPr>
            </w:pPr>
            <w:r>
              <w:rPr>
                <w:rFonts w:hint="eastAsia"/>
                <w:sz w:val="18"/>
                <w:szCs w:val="18"/>
              </w:rPr>
              <w:t>播种</w:t>
            </w:r>
          </w:p>
        </w:tc>
        <w:tc>
          <w:tcPr>
            <w:tcW w:w="725" w:type="dxa"/>
            <w:vAlign w:val="center"/>
          </w:tcPr>
          <w:p>
            <w:pPr>
              <w:pStyle w:val="56"/>
              <w:spacing w:line="360" w:lineRule="auto"/>
              <w:ind w:firstLine="0" w:firstLineChars="0"/>
              <w:jc w:val="center"/>
              <w:rPr>
                <w:sz w:val="18"/>
                <w:szCs w:val="18"/>
              </w:rPr>
            </w:pPr>
            <w:r>
              <w:rPr>
                <w:rFonts w:hint="eastAsia"/>
                <w:sz w:val="18"/>
                <w:szCs w:val="18"/>
              </w:rPr>
              <w:t>种植模式</w:t>
            </w:r>
          </w:p>
        </w:tc>
        <w:tc>
          <w:tcPr>
            <w:tcW w:w="802" w:type="dxa"/>
            <w:vAlign w:val="center"/>
          </w:tcPr>
          <w:p>
            <w:pPr>
              <w:pStyle w:val="56"/>
              <w:spacing w:line="360" w:lineRule="auto"/>
              <w:ind w:firstLine="0" w:firstLineChars="0"/>
              <w:jc w:val="center"/>
              <w:rPr>
                <w:sz w:val="18"/>
                <w:szCs w:val="18"/>
              </w:rPr>
            </w:pPr>
            <w:r>
              <w:rPr>
                <w:rFonts w:hint="eastAsia"/>
                <w:sz w:val="18"/>
                <w:szCs w:val="18"/>
              </w:rPr>
              <w:t>培土</w:t>
            </w:r>
          </w:p>
        </w:tc>
        <w:tc>
          <w:tcPr>
            <w:tcW w:w="694" w:type="dxa"/>
            <w:vAlign w:val="center"/>
          </w:tcPr>
          <w:p>
            <w:pPr>
              <w:pStyle w:val="56"/>
              <w:spacing w:line="360" w:lineRule="auto"/>
              <w:ind w:firstLine="0" w:firstLineChars="0"/>
              <w:jc w:val="center"/>
              <w:rPr>
                <w:sz w:val="18"/>
                <w:szCs w:val="18"/>
              </w:rPr>
            </w:pPr>
            <w:r>
              <w:rPr>
                <w:rFonts w:hint="eastAsia"/>
                <w:sz w:val="18"/>
                <w:szCs w:val="18"/>
              </w:rPr>
              <w:t>滴灌安装</w:t>
            </w:r>
          </w:p>
        </w:tc>
        <w:tc>
          <w:tcPr>
            <w:tcW w:w="725" w:type="dxa"/>
            <w:vAlign w:val="center"/>
          </w:tcPr>
          <w:p>
            <w:pPr>
              <w:pStyle w:val="56"/>
              <w:spacing w:line="360" w:lineRule="auto"/>
              <w:ind w:firstLine="0" w:firstLineChars="0"/>
              <w:jc w:val="center"/>
              <w:rPr>
                <w:sz w:val="18"/>
                <w:szCs w:val="18"/>
              </w:rPr>
            </w:pPr>
            <w:r>
              <w:rPr>
                <w:rFonts w:hint="eastAsia"/>
                <w:sz w:val="18"/>
                <w:szCs w:val="18"/>
              </w:rPr>
              <w:t>浇水</w:t>
            </w:r>
          </w:p>
        </w:tc>
        <w:tc>
          <w:tcPr>
            <w:tcW w:w="709" w:type="dxa"/>
            <w:vAlign w:val="center"/>
          </w:tcPr>
          <w:p>
            <w:pPr>
              <w:pStyle w:val="56"/>
              <w:spacing w:line="360" w:lineRule="auto"/>
              <w:ind w:firstLine="0" w:firstLineChars="0"/>
              <w:jc w:val="center"/>
              <w:rPr>
                <w:sz w:val="18"/>
                <w:szCs w:val="18"/>
              </w:rPr>
            </w:pPr>
            <w:r>
              <w:rPr>
                <w:rFonts w:hint="eastAsia"/>
                <w:sz w:val="18"/>
                <w:szCs w:val="18"/>
              </w:rPr>
              <w:t>施肥</w:t>
            </w:r>
          </w:p>
        </w:tc>
        <w:tc>
          <w:tcPr>
            <w:tcW w:w="701" w:type="dxa"/>
            <w:vAlign w:val="center"/>
          </w:tcPr>
          <w:p>
            <w:pPr>
              <w:pStyle w:val="56"/>
              <w:spacing w:line="360" w:lineRule="auto"/>
              <w:ind w:firstLine="0" w:firstLineChars="0"/>
              <w:jc w:val="center"/>
              <w:rPr>
                <w:sz w:val="18"/>
                <w:szCs w:val="18"/>
              </w:rPr>
            </w:pPr>
            <w:r>
              <w:rPr>
                <w:rFonts w:hint="eastAsia"/>
                <w:sz w:val="18"/>
                <w:szCs w:val="18"/>
              </w:rPr>
              <w:t>除草</w:t>
            </w:r>
          </w:p>
        </w:tc>
        <w:tc>
          <w:tcPr>
            <w:tcW w:w="817" w:type="dxa"/>
            <w:vAlign w:val="center"/>
          </w:tcPr>
          <w:p>
            <w:pPr>
              <w:pStyle w:val="56"/>
              <w:spacing w:line="360" w:lineRule="auto"/>
              <w:ind w:firstLine="0" w:firstLineChars="0"/>
              <w:jc w:val="center"/>
              <w:rPr>
                <w:sz w:val="18"/>
                <w:szCs w:val="18"/>
              </w:rPr>
            </w:pPr>
            <w:r>
              <w:rPr>
                <w:rFonts w:hint="eastAsia"/>
                <w:sz w:val="18"/>
                <w:szCs w:val="18"/>
              </w:rPr>
              <w:t>病虫害防治</w:t>
            </w:r>
          </w:p>
        </w:tc>
        <w:tc>
          <w:tcPr>
            <w:tcW w:w="582" w:type="dxa"/>
            <w:vAlign w:val="center"/>
          </w:tcPr>
          <w:p>
            <w:pPr>
              <w:pStyle w:val="56"/>
              <w:spacing w:line="360" w:lineRule="auto"/>
              <w:ind w:firstLine="0" w:firstLineChars="0"/>
              <w:jc w:val="center"/>
              <w:rPr>
                <w:sz w:val="18"/>
                <w:szCs w:val="18"/>
              </w:rPr>
            </w:pPr>
            <w:r>
              <w:rPr>
                <w:rFonts w:hint="eastAsia"/>
                <w:sz w:val="18"/>
                <w:szCs w:val="18"/>
              </w:rPr>
              <w:t>杀秧</w:t>
            </w:r>
          </w:p>
        </w:tc>
        <w:tc>
          <w:tcPr>
            <w:tcW w:w="547" w:type="dxa"/>
            <w:vAlign w:val="center"/>
          </w:tcPr>
          <w:p>
            <w:pPr>
              <w:pStyle w:val="56"/>
              <w:spacing w:line="360" w:lineRule="auto"/>
              <w:ind w:firstLine="0" w:firstLineChars="0"/>
              <w:jc w:val="center"/>
              <w:rPr>
                <w:sz w:val="18"/>
                <w:szCs w:val="18"/>
              </w:rPr>
            </w:pPr>
            <w:r>
              <w:rPr>
                <w:rFonts w:hint="eastAsia"/>
                <w:sz w:val="18"/>
                <w:szCs w:val="18"/>
              </w:rPr>
              <w:t>收获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10" w:type="dxa"/>
          </w:tcPr>
          <w:p>
            <w:pPr>
              <w:pStyle w:val="56"/>
              <w:spacing w:line="360" w:lineRule="auto"/>
              <w:ind w:firstLine="0" w:firstLineChars="0"/>
              <w:rPr>
                <w:sz w:val="18"/>
                <w:szCs w:val="18"/>
              </w:rPr>
            </w:pPr>
          </w:p>
        </w:tc>
        <w:tc>
          <w:tcPr>
            <w:tcW w:w="1200" w:type="dxa"/>
          </w:tcPr>
          <w:p>
            <w:pPr>
              <w:pStyle w:val="56"/>
              <w:spacing w:line="360" w:lineRule="auto"/>
              <w:ind w:firstLine="0" w:firstLineChars="0"/>
              <w:rPr>
                <w:sz w:val="18"/>
                <w:szCs w:val="18"/>
              </w:rPr>
            </w:pPr>
          </w:p>
        </w:tc>
        <w:tc>
          <w:tcPr>
            <w:tcW w:w="667" w:type="dxa"/>
          </w:tcPr>
          <w:p>
            <w:pPr>
              <w:pStyle w:val="56"/>
              <w:spacing w:line="360" w:lineRule="auto"/>
              <w:ind w:firstLine="0" w:firstLineChars="0"/>
              <w:rPr>
                <w:sz w:val="18"/>
                <w:szCs w:val="18"/>
              </w:rPr>
            </w:pPr>
          </w:p>
        </w:tc>
        <w:tc>
          <w:tcPr>
            <w:tcW w:w="617"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802" w:type="dxa"/>
          </w:tcPr>
          <w:p>
            <w:pPr>
              <w:pStyle w:val="56"/>
              <w:spacing w:line="360" w:lineRule="auto"/>
              <w:ind w:firstLine="0" w:firstLineChars="0"/>
              <w:rPr>
                <w:sz w:val="18"/>
                <w:szCs w:val="18"/>
              </w:rPr>
            </w:pPr>
          </w:p>
        </w:tc>
        <w:tc>
          <w:tcPr>
            <w:tcW w:w="694" w:type="dxa"/>
          </w:tcPr>
          <w:p>
            <w:pPr>
              <w:pStyle w:val="56"/>
              <w:spacing w:line="360" w:lineRule="auto"/>
              <w:ind w:firstLine="0" w:firstLineChars="0"/>
              <w:rPr>
                <w:sz w:val="18"/>
                <w:szCs w:val="18"/>
              </w:rPr>
            </w:pPr>
          </w:p>
        </w:tc>
        <w:tc>
          <w:tcPr>
            <w:tcW w:w="725" w:type="dxa"/>
          </w:tcPr>
          <w:p>
            <w:pPr>
              <w:pStyle w:val="56"/>
              <w:spacing w:line="360" w:lineRule="auto"/>
              <w:ind w:firstLine="0" w:firstLineChars="0"/>
              <w:rPr>
                <w:sz w:val="18"/>
                <w:szCs w:val="18"/>
              </w:rPr>
            </w:pPr>
          </w:p>
        </w:tc>
        <w:tc>
          <w:tcPr>
            <w:tcW w:w="709" w:type="dxa"/>
          </w:tcPr>
          <w:p>
            <w:pPr>
              <w:pStyle w:val="56"/>
              <w:spacing w:line="360" w:lineRule="auto"/>
              <w:ind w:firstLine="0" w:firstLineChars="0"/>
              <w:rPr>
                <w:sz w:val="18"/>
                <w:szCs w:val="18"/>
              </w:rPr>
            </w:pPr>
          </w:p>
        </w:tc>
        <w:tc>
          <w:tcPr>
            <w:tcW w:w="701" w:type="dxa"/>
          </w:tcPr>
          <w:p>
            <w:pPr>
              <w:pStyle w:val="56"/>
              <w:spacing w:line="360" w:lineRule="auto"/>
              <w:ind w:firstLine="0" w:firstLineChars="0"/>
              <w:rPr>
                <w:sz w:val="18"/>
                <w:szCs w:val="18"/>
              </w:rPr>
            </w:pPr>
          </w:p>
        </w:tc>
        <w:tc>
          <w:tcPr>
            <w:tcW w:w="817" w:type="dxa"/>
          </w:tcPr>
          <w:p>
            <w:pPr>
              <w:pStyle w:val="56"/>
              <w:spacing w:line="360" w:lineRule="auto"/>
              <w:ind w:firstLine="0" w:firstLineChars="0"/>
              <w:rPr>
                <w:sz w:val="18"/>
                <w:szCs w:val="18"/>
              </w:rPr>
            </w:pPr>
          </w:p>
        </w:tc>
        <w:tc>
          <w:tcPr>
            <w:tcW w:w="582" w:type="dxa"/>
          </w:tcPr>
          <w:p>
            <w:pPr>
              <w:pStyle w:val="56"/>
              <w:spacing w:line="360" w:lineRule="auto"/>
              <w:ind w:firstLine="0" w:firstLineChars="0"/>
              <w:rPr>
                <w:sz w:val="18"/>
                <w:szCs w:val="18"/>
              </w:rPr>
            </w:pPr>
          </w:p>
        </w:tc>
        <w:tc>
          <w:tcPr>
            <w:tcW w:w="547" w:type="dxa"/>
          </w:tcPr>
          <w:p>
            <w:pPr>
              <w:pStyle w:val="56"/>
              <w:spacing w:line="360" w:lineRule="auto"/>
              <w:ind w:firstLine="0" w:firstLineChars="0"/>
              <w:rPr>
                <w:sz w:val="18"/>
                <w:szCs w:val="18"/>
              </w:rPr>
            </w:pPr>
          </w:p>
        </w:tc>
      </w:tr>
      <w:bookmarkEnd w:id="71"/>
    </w:tbl>
    <w:p>
      <w:pPr>
        <w:pStyle w:val="56"/>
        <w:ind w:firstLine="0" w:firstLineChars="0"/>
        <w:jc w:val="center"/>
      </w:pPr>
      <w:bookmarkStart w:id="74"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7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14/T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14/T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1134"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1M2ZlNGVkYTIzMWM0MDZkNjBjYmVhMzI1NDRjYmYifQ=="/>
  </w:docVars>
  <w:rsids>
    <w:rsidRoot w:val="008E458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211"/>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88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585"/>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8ED"/>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74C"/>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4DC3"/>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56744B"/>
    <w:rsid w:val="08382159"/>
    <w:rsid w:val="09185C2C"/>
    <w:rsid w:val="0C5A0B45"/>
    <w:rsid w:val="3FBD5AB5"/>
    <w:rsid w:val="49713AD3"/>
    <w:rsid w:val="78595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ind w:left="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AE4A18401DC4637A7BADD9DABAEA00C"/>
        <w:style w:val=""/>
        <w:category>
          <w:name w:val="常规"/>
          <w:gallery w:val="placeholder"/>
        </w:category>
        <w:types>
          <w:type w:val="bbPlcHdr"/>
        </w:types>
        <w:behaviors>
          <w:behavior w:val="content"/>
        </w:behaviors>
        <w:description w:val=""/>
        <w:guid w:val="{CA4FCFC6-1AA5-494A-9E0E-B46FEEC08492}"/>
      </w:docPartPr>
      <w:docPartBody>
        <w:p>
          <w:pPr>
            <w:pStyle w:val="5"/>
          </w:pPr>
          <w:r>
            <w:rPr>
              <w:rStyle w:val="4"/>
              <w:rFonts w:hint="eastAsia"/>
            </w:rPr>
            <w:t>单击或点击此处输入文字。</w:t>
          </w:r>
        </w:p>
      </w:docPartBody>
    </w:docPart>
    <w:docPart>
      <w:docPartPr>
        <w:name w:val="5EBE021E79C34916AEB67D17C7ED903E"/>
        <w:style w:val=""/>
        <w:category>
          <w:name w:val="常规"/>
          <w:gallery w:val="placeholder"/>
        </w:category>
        <w:types>
          <w:type w:val="bbPlcHdr"/>
        </w:types>
        <w:behaviors>
          <w:behavior w:val="content"/>
        </w:behaviors>
        <w:description w:val=""/>
        <w:guid w:val="{D511C401-E294-4A35-AA40-68D4821E81FC}"/>
      </w:docPartPr>
      <w:docPartBody>
        <w:p>
          <w:pPr>
            <w:pStyle w:val="6"/>
          </w:pPr>
          <w:r>
            <w:rPr>
              <w:rStyle w:val="4"/>
              <w:rFonts w:hint="eastAsia"/>
            </w:rPr>
            <w:t>选择一项。</w:t>
          </w:r>
        </w:p>
      </w:docPartBody>
    </w:docPart>
    <w:docPart>
      <w:docPartPr>
        <w:name w:val="365C9996079C47BA9961C4D8786C2E8E"/>
        <w:style w:val=""/>
        <w:category>
          <w:name w:val="常规"/>
          <w:gallery w:val="placeholder"/>
        </w:category>
        <w:types>
          <w:type w:val="bbPlcHdr"/>
        </w:types>
        <w:behaviors>
          <w:behavior w:val="content"/>
        </w:behaviors>
        <w:description w:val=""/>
        <w:guid w:val="{69742192-9B3E-4F88-8703-BB3062E98DF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209"/>
    <w:rsid w:val="00CE7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7AE4A18401DC4637A7BADD9DABAEA00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EBE021E79C34916AEB67D17C7ED903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65C9996079C47BA9961C4D8786C2E8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890A5F-B81B-4872-B06B-0CF3FCF18FD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2749</Words>
  <Characters>3245</Characters>
  <Lines>454</Lines>
  <Paragraphs>408</Paragraphs>
  <TotalTime>72</TotalTime>
  <ScaleCrop>false</ScaleCrop>
  <LinksUpToDate>false</LinksUpToDate>
  <CharactersWithSpaces>3436</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2024-03-29T02:50:00Z</dcterms:created>
  <dc:creator>123</dc:creator>
  <dc:description>&lt;config cover="true" show_menu="true" version="1.0.0" doctype="SDKXY"&gt;_x000d_
&lt;/config&gt;</dc:description>
  <cp:lastModifiedBy>Administrator</cp:lastModifiedBy>
  <cp:lastPrinted>2020-08-30T10:00:00Z</cp:lastPrinted>
  <dcterms:modified xsi:type="dcterms:W3CDTF">2024-04-24T09:04:08Z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2052-12.1.0.16894</vt:lpwstr>
  </property>
  <property fmtid="{D5CDD505-2E9C-101B-9397-08002B2CF9AE}" pid="15" name="ICV">
    <vt:lpwstr>C7F41CB2604040CF80F737EFFC774892_12</vt:lpwstr>
  </property>
</Properties>
</file>