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65.020.20</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B 31</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6661"/>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PrEx>
        <w:tc>
          <w:tcPr>
            <w:tcW w:w="6661" w:type="dxa"/>
          </w:tcPr>
          <w:p>
            <w:pPr>
              <w:pStyle w:val="49"/>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14</w:t>
            </w:r>
            <w:r>
              <w:fldChar w:fldCharType="end"/>
            </w:r>
            <w:bookmarkEnd w:id="3"/>
          </w:p>
        </w:tc>
      </w:tr>
    </w:tbl>
    <w:p>
      <w:pPr>
        <w:pStyle w:val="50"/>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山西省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5"/>
      </w:pPr>
      <w:r>
        <w:t>DB</w:t>
      </w:r>
      <w:r>
        <w:rPr>
          <w:sz w:val="15"/>
          <w:szCs w:val="15"/>
        </w:rPr>
        <w:t xml:space="preserve"> </w:t>
      </w:r>
      <w:r>
        <w:fldChar w:fldCharType="begin">
          <w:ffData>
            <w:name w:val="文字1"/>
            <w:enabled/>
            <w:calcOnExit w:val="0"/>
            <w:textInput>
              <w:default w:val="XX"/>
            </w:textInput>
          </w:ffData>
        </w:fldChar>
      </w:r>
      <w:bookmarkStart w:id="5" w:name="文字1"/>
      <w:r>
        <w:instrText xml:space="preserve"> FORMTEXT </w:instrText>
      </w:r>
      <w:r>
        <w:fldChar w:fldCharType="separate"/>
      </w:r>
      <w:r>
        <w:rPr>
          <w:rFonts w:hint="eastAsia"/>
        </w:rPr>
        <w:t>14/T</w:t>
      </w:r>
      <w:r>
        <w:fldChar w:fldCharType="end"/>
      </w:r>
      <w:bookmarkEnd w:id="5"/>
      <w:r>
        <w:t xml:space="preserve"> </w:t>
      </w:r>
      <w:r>
        <w:fldChar w:fldCharType="begin">
          <w:ffData>
            <w:name w:val="NSTD_CODE_F"/>
            <w:enabled/>
            <w:calcOnExit w:val="0"/>
            <w:textInput>
              <w:default w:val="XXXXX"/>
            </w:textInput>
          </w:ffData>
        </w:fldChar>
      </w:r>
      <w:bookmarkStart w:id="6" w:name="NSTD_CODE_F"/>
      <w:r>
        <w:instrText xml:space="preserve"> FORMTEXT </w:instrText>
      </w:r>
      <w:r>
        <w:fldChar w:fldCharType="separate"/>
      </w:r>
      <w:r>
        <w:rPr>
          <w:rFonts w:hint="eastAsia"/>
        </w:rPr>
        <w:t>1288</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rPr>
          <w:rFonts w:hint="eastAsia"/>
        </w:rPr>
        <w:t>2024</w:t>
      </w:r>
      <w:r>
        <w:fldChar w:fldCharType="end"/>
      </w:r>
      <w:bookmarkEnd w:id="7"/>
    </w:p>
    <w:p>
      <w:pPr>
        <w:pStyle w:val="196"/>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代替 DB14/T1288—2016和DB14/T 1295—2016</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pPr>
        <w:pStyle w:val="50"/>
        <w:framePr w:w="9639" w:h="6976" w:hRule="exact" w:hSpace="0" w:vSpace="0" w:wrap="around" w:hAnchor="page" w:y="6408"/>
        <w:jc w:val="center"/>
        <w:rPr>
          <w:rFonts w:ascii="黑体" w:hAnsi="黑体" w:eastAsia="黑体"/>
          <w:b w:val="0"/>
          <w:bCs w:val="0"/>
          <w:w w:val="100"/>
        </w:rPr>
      </w:pPr>
    </w:p>
    <w:p>
      <w:pPr>
        <w:pStyle w:val="197"/>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设施蔬菜二氧化碳施肥技术</w:t>
      </w:r>
      <w:r>
        <w:fldChar w:fldCharType="end"/>
      </w:r>
      <w:bookmarkEnd w:id="9"/>
    </w:p>
    <w:p>
      <w:pPr>
        <w:framePr w:w="9639" w:h="6974" w:hRule="exact" w:wrap="around" w:vAnchor="page" w:hAnchor="page" w:x="1419" w:y="6408" w:anchorLock="1"/>
        <w:ind w:left="-1418"/>
      </w:pPr>
    </w:p>
    <w:p>
      <w:pPr>
        <w:pStyle w:val="125"/>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eastAsia="黑体"/>
          <w:szCs w:val="28"/>
        </w:rPr>
        <w:t>     </w:t>
      </w:r>
      <w:r>
        <w:rPr>
          <w:rFonts w:eastAsia="黑体"/>
          <w:szCs w:val="28"/>
        </w:rPr>
        <w:fldChar w:fldCharType="end"/>
      </w:r>
      <w:bookmarkEnd w:id="10"/>
    </w:p>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textAlignment w:val="bottom"/>
        <w:rPr>
          <w:rFonts w:eastAsia="黑体"/>
          <w:szCs w:val="28"/>
        </w:rPr>
      </w:pPr>
      <w:r>
        <w:rPr>
          <w:rFonts w:eastAsia="黑体"/>
          <w:szCs w:val="28"/>
        </w:rPr>
        <w:fldChar w:fldCharType="begin">
          <w:ffData>
            <w:name w:val="IN_STD_CODE"/>
            <w:enabled/>
            <w:calcOnExit w:val="0"/>
            <w:textInput>
              <w:default w:val="(点击此处添加与国际标准一致性程度的标识)"/>
            </w:textInput>
          </w:ffData>
        </w:fldChar>
      </w:r>
      <w:bookmarkStart w:id="11" w:name="IN_STD_CODE"/>
      <w:r>
        <w:rPr>
          <w:rFonts w:eastAsia="黑体"/>
          <w:szCs w:val="28"/>
        </w:rPr>
        <w:instrText xml:space="preserve"> FORMTEXT </w:instrText>
      </w:r>
      <w:r>
        <w:rPr>
          <w:rFonts w:eastAsia="黑体"/>
          <w:szCs w:val="28"/>
        </w:rPr>
        <w:fldChar w:fldCharType="separate"/>
      </w:r>
      <w:r>
        <w:rPr>
          <w:rFonts w:eastAsia="黑体"/>
          <w:szCs w:val="28"/>
        </w:rPr>
        <w:t>     </w:t>
      </w:r>
      <w:r>
        <w:rPr>
          <w:rFonts w:eastAsia="黑体"/>
          <w:szCs w:val="28"/>
        </w:rPr>
        <w:fldChar w:fldCharType="end"/>
      </w:r>
      <w:bookmarkEnd w:id="11"/>
    </w:p>
    <w:p>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2" w:name="下拉1"/>
      <w:r>
        <w:rPr>
          <w:sz w:val="24"/>
          <w:szCs w:val="28"/>
        </w:rPr>
        <w:instrText xml:space="preserve"> FORMDROPDOWN </w:instrText>
      </w:r>
      <w:r>
        <w:rPr>
          <w:sz w:val="24"/>
          <w:szCs w:val="28"/>
        </w:rPr>
        <w:fldChar w:fldCharType="separate"/>
      </w:r>
      <w:r>
        <w:rPr>
          <w:sz w:val="24"/>
          <w:szCs w:val="28"/>
        </w:rPr>
        <w:fldChar w:fldCharType="end"/>
      </w:r>
      <w:bookmarkEnd w:id="12"/>
    </w:p>
    <w:p>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3"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3"/>
    </w:p>
    <w:p>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4" w:name="下拉2"/>
      <w:r>
        <w:rPr>
          <w:b/>
          <w:sz w:val="21"/>
          <w:szCs w:val="28"/>
        </w:rPr>
        <w:instrText xml:space="preserve"> FORMDROPDOWN </w:instrText>
      </w:r>
      <w:r>
        <w:rPr>
          <w:b/>
          <w:sz w:val="21"/>
          <w:szCs w:val="28"/>
        </w:rPr>
        <w:fldChar w:fldCharType="separate"/>
      </w:r>
      <w:r>
        <w:rPr>
          <w:b/>
          <w:sz w:val="21"/>
          <w:szCs w:val="28"/>
        </w:rPr>
        <w:fldChar w:fldCharType="end"/>
      </w:r>
      <w:bookmarkEnd w:id="14"/>
    </w:p>
    <w:p>
      <w:pPr>
        <w:pStyle w:val="193"/>
        <w:framePr w:wrap="around" w:y="14176"/>
      </w:pPr>
      <w:r>
        <w:rPr>
          <w:rFonts w:ascii="黑体"/>
        </w:rPr>
        <w:fldChar w:fldCharType="begin">
          <w:ffData>
            <w:name w:val="PLSH_DATE_Y"/>
            <w:enabled/>
            <w:calcOnExit w:val="0"/>
            <w:textInput>
              <w:default w:val="XXXX"/>
              <w:maxLength w:val="4"/>
            </w:textInput>
          </w:ffData>
        </w:fldChar>
      </w:r>
      <w:bookmarkStart w:id="15" w:name="PLSH_DATE_Y"/>
      <w:r>
        <w:rPr>
          <w:rFonts w:ascii="黑体"/>
        </w:rPr>
        <w:instrText xml:space="preserve"> FORMTEXT </w:instrText>
      </w:r>
      <w:r>
        <w:rPr>
          <w:rFonts w:ascii="黑体"/>
        </w:rPr>
        <w:fldChar w:fldCharType="separate"/>
      </w:r>
      <w:r>
        <w:rPr>
          <w:rFonts w:hint="eastAsia" w:ascii="黑体"/>
        </w:rPr>
        <w:t>2024</w:t>
      </w:r>
      <w:r>
        <w:rPr>
          <w:rFonts w:ascii="黑体"/>
        </w:rPr>
        <w:fldChar w:fldCharType="end"/>
      </w:r>
      <w:bookmarkEnd w:id="15"/>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6"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7"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rPr>
          <w:rFonts w:hint="eastAsia"/>
        </w:rPr>
        <w:t>发布</w:t>
      </w:r>
    </w:p>
    <w:p>
      <w:pPr>
        <w:pStyle w:val="194"/>
        <w:framePr w:wrap="around" w:y="14176"/>
      </w:pPr>
      <w:r>
        <w:rPr>
          <w:rFonts w:ascii="黑体"/>
        </w:rPr>
        <w:fldChar w:fldCharType="begin">
          <w:ffData>
            <w:name w:val="CROT_DATE_Y"/>
            <w:enabled/>
            <w:calcOnExit w:val="0"/>
            <w:textInput>
              <w:default w:val="XXXX"/>
              <w:maxLength w:val="4"/>
            </w:textInput>
          </w:ffData>
        </w:fldChar>
      </w:r>
      <w:bookmarkStart w:id="18" w:name="CROT_DATE_Y"/>
      <w:r>
        <w:rPr>
          <w:rFonts w:ascii="黑体"/>
        </w:rPr>
        <w:instrText xml:space="preserve"> FORMTEXT </w:instrText>
      </w:r>
      <w:r>
        <w:rPr>
          <w:rFonts w:ascii="黑体"/>
        </w:rPr>
        <w:fldChar w:fldCharType="separate"/>
      </w:r>
      <w:r>
        <w:rPr>
          <w:rFonts w:hint="eastAsia" w:ascii="黑体"/>
        </w:rPr>
        <w:t>2024</w:t>
      </w:r>
      <w:r>
        <w:rPr>
          <w:rFonts w:ascii="黑体"/>
        </w:rPr>
        <w:fldChar w:fldCharType="end"/>
      </w:r>
      <w:bookmarkEnd w:id="18"/>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9"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20"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20"/>
      <w:r>
        <w:rPr>
          <w:rFonts w:hint="eastAsia"/>
        </w:rPr>
        <w:t>实施</w:t>
      </w:r>
    </w:p>
    <w:p>
      <w:pPr>
        <w:pStyle w:val="151"/>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1" w:name="fm"/>
      <w:r>
        <w:rPr>
          <w:rFonts w:hAnsi="黑体"/>
          <w:w w:val="100"/>
          <w:sz w:val="28"/>
        </w:rPr>
        <w:instrText xml:space="preserve"> FORMTEXT </w:instrText>
      </w:r>
      <w:r>
        <w:rPr>
          <w:rFonts w:hAnsi="黑体"/>
          <w:w w:val="100"/>
          <w:sz w:val="28"/>
        </w:rPr>
        <w:fldChar w:fldCharType="separate"/>
      </w:r>
      <w:r>
        <w:rPr>
          <w:rFonts w:hint="eastAsia" w:hAnsi="黑体"/>
          <w:w w:val="100"/>
          <w:sz w:val="28"/>
        </w:rPr>
        <w:t>山西省市场监督管理局</w:t>
      </w:r>
      <w:r>
        <w:rPr>
          <w:rFonts w:hAnsi="黑体"/>
          <w:w w:val="100"/>
          <w:sz w:val="28"/>
        </w:rPr>
        <w:fldChar w:fldCharType="end"/>
      </w:r>
      <w:bookmarkEnd w:id="21"/>
      <w:r>
        <w:rPr>
          <w:rFonts w:ascii="Times New Roman"/>
          <w:w w:val="100"/>
          <w:sz w:val="28"/>
        </w:rPr>
        <w:t>  </w:t>
      </w:r>
      <w:r>
        <w:rPr>
          <w:rStyle w:val="229"/>
          <w:rFonts w:hint="eastAsia" w:hAnsi="黑体"/>
          <w:position w:val="0"/>
        </w:rPr>
        <w:t>发</w:t>
      </w:r>
      <w:r>
        <w:rPr>
          <w:rStyle w:val="229"/>
          <w:rFonts w:hint="eastAsia" w:hAnsi="黑体"/>
          <w:spacing w:val="0"/>
          <w:position w:val="0"/>
        </w:rPr>
        <w:t>布</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pPr>
        <w:pStyle w:val="91"/>
        <w:spacing w:after="468"/>
      </w:pPr>
      <w:bookmarkStart w:id="22" w:name="BookMark1"/>
      <w:r>
        <w:rPr>
          <w:rFonts w:hint="eastAsia"/>
          <w:spacing w:val="320"/>
        </w:rPr>
        <w:t>目</w:t>
      </w:r>
      <w:r>
        <w:rPr>
          <w:rFonts w:hint="eastAsia"/>
        </w:rPr>
        <w:t>次</w:t>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TOC \o "1-1" \h </w:instrText>
      </w:r>
      <w:r>
        <w:fldChar w:fldCharType="separate"/>
      </w:r>
      <w:r>
        <w:fldChar w:fldCharType="begin"/>
      </w:r>
      <w:r>
        <w:instrText xml:space="preserve"> HYPERLINK \l "_Toc163420144" </w:instrText>
      </w:r>
      <w:r>
        <w:fldChar w:fldCharType="separate"/>
      </w:r>
      <w:r>
        <w:rPr>
          <w:rStyle w:val="32"/>
        </w:rPr>
        <w:t>前言</w:t>
      </w:r>
      <w:r>
        <w:tab/>
      </w:r>
      <w:r>
        <w:fldChar w:fldCharType="begin"/>
      </w:r>
      <w:r>
        <w:instrText xml:space="preserve"> PAGEREF _Toc163420144 \h </w:instrText>
      </w:r>
      <w:r>
        <w:fldChar w:fldCharType="separate"/>
      </w:r>
      <w:r>
        <w:t>II</w:t>
      </w:r>
      <w:r>
        <w:fldChar w:fldCharType="end"/>
      </w:r>
      <w:r>
        <w:fldChar w:fldCharType="end"/>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"_Toc163420145" </w:instrText>
      </w:r>
      <w:r>
        <w:fldChar w:fldCharType="separate"/>
      </w:r>
      <w:r>
        <w:rPr>
          <w:rStyle w:val="32"/>
        </w:rPr>
        <w:t>1  范围</w:t>
      </w:r>
      <w:r>
        <w:tab/>
      </w:r>
      <w:r>
        <w:fldChar w:fldCharType="begin"/>
      </w:r>
      <w:r>
        <w:instrText xml:space="preserve"> PAGEREF _Toc163420145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"_Toc163420146" </w:instrText>
      </w:r>
      <w:r>
        <w:fldChar w:fldCharType="separate"/>
      </w:r>
      <w:r>
        <w:rPr>
          <w:rStyle w:val="32"/>
        </w:rPr>
        <w:t>2  规范性引用文件</w:t>
      </w:r>
      <w:r>
        <w:tab/>
      </w:r>
      <w:r>
        <w:fldChar w:fldCharType="begin"/>
      </w:r>
      <w:r>
        <w:instrText xml:space="preserve"> PAGEREF _Toc163420146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"_Toc163420147" </w:instrText>
      </w:r>
      <w:r>
        <w:fldChar w:fldCharType="separate"/>
      </w:r>
      <w:r>
        <w:rPr>
          <w:rStyle w:val="32"/>
        </w:rPr>
        <w:t>3  术语和定义</w:t>
      </w:r>
      <w:r>
        <w:tab/>
      </w:r>
      <w:r>
        <w:fldChar w:fldCharType="begin"/>
      </w:r>
      <w:r>
        <w:instrText xml:space="preserve"> PAGEREF _Toc163420147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"_Toc163420148" </w:instrText>
      </w:r>
      <w:r>
        <w:fldChar w:fldCharType="separate"/>
      </w:r>
      <w:r>
        <w:rPr>
          <w:rStyle w:val="32"/>
        </w:rPr>
        <w:t>4  设施结构与环境</w:t>
      </w:r>
      <w:r>
        <w:tab/>
      </w:r>
      <w:r>
        <w:fldChar w:fldCharType="begin"/>
      </w:r>
      <w:r>
        <w:instrText xml:space="preserve"> PAGEREF _Toc163420148 \h </w:instrText>
      </w:r>
      <w:r>
        <w:fldChar w:fldCharType="separate"/>
      </w:r>
      <w:r>
        <w:t>2</w:t>
      </w:r>
      <w:r>
        <w:fldChar w:fldCharType="end"/>
      </w:r>
      <w:r>
        <w:fldChar w:fldCharType="end"/>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"_Toc163420149" </w:instrText>
      </w:r>
      <w:r>
        <w:fldChar w:fldCharType="separate"/>
      </w:r>
      <w:r>
        <w:rPr>
          <w:rStyle w:val="32"/>
        </w:rPr>
        <w:t>5  施肥浓度</w:t>
      </w:r>
      <w:r>
        <w:tab/>
      </w:r>
      <w:r>
        <w:fldChar w:fldCharType="begin"/>
      </w:r>
      <w:r>
        <w:instrText xml:space="preserve"> PAGEREF _Toc163420149 \h </w:instrText>
      </w:r>
      <w:r>
        <w:fldChar w:fldCharType="separate"/>
      </w:r>
      <w:r>
        <w:t>2</w:t>
      </w:r>
      <w:r>
        <w:fldChar w:fldCharType="end"/>
      </w:r>
      <w:r>
        <w:fldChar w:fldCharType="end"/>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"_Toc163420150" </w:instrText>
      </w:r>
      <w:r>
        <w:fldChar w:fldCharType="separate"/>
      </w:r>
      <w:r>
        <w:rPr>
          <w:rStyle w:val="32"/>
        </w:rPr>
        <w:t>6  施肥时间</w:t>
      </w:r>
      <w:r>
        <w:tab/>
      </w:r>
      <w:r>
        <w:fldChar w:fldCharType="begin"/>
      </w:r>
      <w:r>
        <w:instrText xml:space="preserve"> PAGEREF _Toc163420150 \h </w:instrText>
      </w:r>
      <w:r>
        <w:fldChar w:fldCharType="separate"/>
      </w:r>
      <w:r>
        <w:t>2</w:t>
      </w:r>
      <w:r>
        <w:fldChar w:fldCharType="end"/>
      </w:r>
      <w:r>
        <w:fldChar w:fldCharType="end"/>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"_Toc163420151" </w:instrText>
      </w:r>
      <w:r>
        <w:fldChar w:fldCharType="separate"/>
      </w:r>
      <w:r>
        <w:rPr>
          <w:rStyle w:val="32"/>
        </w:rPr>
        <w:t>7  施肥方法</w:t>
      </w:r>
      <w:r>
        <w:tab/>
      </w:r>
      <w:r>
        <w:fldChar w:fldCharType="begin"/>
      </w:r>
      <w:r>
        <w:instrText xml:space="preserve"> PAGEREF _Toc163420151 \h </w:instrText>
      </w:r>
      <w:r>
        <w:fldChar w:fldCharType="separate"/>
      </w:r>
      <w:r>
        <w:t>2</w:t>
      </w:r>
      <w:r>
        <w:fldChar w:fldCharType="end"/>
      </w:r>
      <w:r>
        <w:fldChar w:fldCharType="end"/>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"_Toc163420152" </w:instrText>
      </w:r>
      <w:r>
        <w:fldChar w:fldCharType="separate"/>
      </w:r>
      <w:r>
        <w:rPr>
          <w:rStyle w:val="32"/>
        </w:rPr>
        <w:t>8  配套管理</w:t>
      </w:r>
      <w:r>
        <w:tab/>
      </w:r>
      <w:r>
        <w:fldChar w:fldCharType="begin"/>
      </w:r>
      <w:r>
        <w:instrText xml:space="preserve"> PAGEREF _Toc163420152 \h </w:instrText>
      </w:r>
      <w:r>
        <w:fldChar w:fldCharType="separate"/>
      </w:r>
      <w:r>
        <w:t>3</w:t>
      </w:r>
      <w:r>
        <w:fldChar w:fldCharType="end"/>
      </w:r>
      <w:r>
        <w:fldChar w:fldCharType="end"/>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"_Toc163420153" </w:instrText>
      </w:r>
      <w:r>
        <w:fldChar w:fldCharType="separate"/>
      </w:r>
      <w:r>
        <w:rPr>
          <w:rStyle w:val="32"/>
        </w:rPr>
        <w:t>9  注意事项</w:t>
      </w:r>
      <w:r>
        <w:tab/>
      </w:r>
      <w:r>
        <w:fldChar w:fldCharType="begin"/>
      </w:r>
      <w:r>
        <w:instrText xml:space="preserve"> PAGEREF _Toc163420153 \h </w:instrText>
      </w:r>
      <w:r>
        <w:fldChar w:fldCharType="separate"/>
      </w:r>
      <w:r>
        <w:t>4</w:t>
      </w:r>
      <w:r>
        <w:fldChar w:fldCharType="end"/>
      </w:r>
      <w:r>
        <w:fldChar w:fldCharType="end"/>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"_Toc163420154" </w:instrText>
      </w:r>
      <w:r>
        <w:fldChar w:fldCharType="separate"/>
      </w:r>
      <w:r>
        <w:rPr>
          <w:rStyle w:val="32"/>
        </w:rPr>
        <w:t>10  生产档案</w:t>
      </w:r>
      <w:r>
        <w:tab/>
      </w:r>
      <w:r>
        <w:fldChar w:fldCharType="begin"/>
      </w:r>
      <w:r>
        <w:instrText xml:space="preserve"> PAGEREF _Toc163420154 \h </w:instrText>
      </w:r>
      <w:r>
        <w:fldChar w:fldCharType="separate"/>
      </w:r>
      <w:r>
        <w:t>4</w:t>
      </w:r>
      <w:r>
        <w:fldChar w:fldCharType="end"/>
      </w:r>
      <w:r>
        <w:fldChar w:fldCharType="end"/>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"_Toc163420155" </w:instrText>
      </w:r>
      <w:r>
        <w:fldChar w:fldCharType="separate"/>
      </w:r>
      <w:r>
        <w:rPr>
          <w:rStyle w:val="32"/>
        </w:rPr>
        <w:t>附录A（资料性）  生产档案</w:t>
      </w:r>
      <w:r>
        <w:tab/>
      </w:r>
      <w:r>
        <w:fldChar w:fldCharType="begin"/>
      </w:r>
      <w:r>
        <w:instrText xml:space="preserve"> PAGEREF _Toc163420155 \h </w:instrText>
      </w:r>
      <w:r>
        <w:fldChar w:fldCharType="separate"/>
      </w:r>
      <w:r>
        <w:t>5</w:t>
      </w:r>
      <w:r>
        <w:fldChar w:fldCharType="end"/>
      </w:r>
      <w:r>
        <w:fldChar w:fldCharType="end"/>
      </w:r>
    </w:p>
    <w:p>
      <w:pPr>
        <w:pStyle w:val="91"/>
        <w:spacing w:after="468"/>
        <w:sectPr>
          <w:headerReference r:id="rId11" w:type="default"/>
          <w:footerReference r:id="rId13" w:type="default"/>
          <w:headerReference r:id="rId12" w:type="even"/>
          <w:pgSz w:w="11906" w:h="16838"/>
          <w:pgMar w:top="1871" w:right="1134" w:bottom="1134" w:left="1134" w:header="1418" w:footer="1134" w:gutter="284"/>
          <w:pgNumType w:fmt="upperRoman" w:start="1"/>
          <w:cols w:space="425" w:num="1"/>
          <w:formProt w:val="0"/>
          <w:docGrid w:type="lines" w:linePitch="312" w:charSpace="0"/>
        </w:sectPr>
      </w:pPr>
      <w:r>
        <w:fldChar w:fldCharType="end"/>
      </w:r>
    </w:p>
    <w:bookmarkEnd w:id="22"/>
    <w:p>
      <w:pPr>
        <w:pStyle w:val="89"/>
        <w:spacing w:after="468"/>
      </w:pPr>
      <w:bookmarkStart w:id="23" w:name="_Toc163420144"/>
      <w:bookmarkStart w:id="24" w:name="BookMark2"/>
      <w:r>
        <w:rPr>
          <w:spacing w:val="320"/>
        </w:rPr>
        <w:t>前</w:t>
      </w:r>
      <w:r>
        <w:t>言</w:t>
      </w:r>
      <w:bookmarkEnd w:id="23"/>
    </w:p>
    <w:p>
      <w:pPr>
        <w:pStyle w:val="56"/>
        <w:ind w:firstLine="420"/>
      </w:pPr>
      <w:r>
        <w:rPr>
          <w:rFonts w:hint="eastAsia"/>
        </w:rPr>
        <w:t>本文件按照GB/T 1.1—2020《标准化工作导则  第1部分：标准化文件的结构和起草规则》的规定起草。</w:t>
      </w:r>
    </w:p>
    <w:p>
      <w:pPr>
        <w:pStyle w:val="56"/>
        <w:ind w:firstLine="420"/>
        <w:rPr>
          <w:rFonts w:ascii="Times New Roman"/>
        </w:rPr>
      </w:pPr>
      <w:r>
        <w:rPr>
          <w:rFonts w:hint="eastAsia" w:ascii="Times New Roman"/>
        </w:rPr>
        <w:t>本文件是“设施蔬菜固碳生产技术规程”系列标准之一，本系列标准由以下文件组成：</w:t>
      </w:r>
    </w:p>
    <w:p>
      <w:pPr>
        <w:pStyle w:val="56"/>
        <w:ind w:firstLine="420"/>
        <w:rPr>
          <w:rFonts w:hint="eastAsia" w:ascii="宋体" w:hAnsi="宋体" w:eastAsia="宋体" w:cs="宋体"/>
          <w:color w:val="FF0000"/>
        </w:rPr>
      </w:pPr>
      <w:r>
        <w:rPr>
          <w:rFonts w:hint="eastAsia" w:ascii="Times New Roman"/>
        </w:rPr>
        <w:t>——</w:t>
      </w:r>
      <w:r>
        <w:rPr>
          <w:rFonts w:hint="eastAsia" w:ascii="宋体" w:hAnsi="宋体" w:eastAsia="宋体" w:cs="宋体"/>
        </w:rPr>
        <w:t>DB14/T 1288  设施蔬菜二氧化碳施肥技术规程</w:t>
      </w:r>
    </w:p>
    <w:p>
      <w:pPr>
        <w:pStyle w:val="56"/>
        <w:ind w:firstLine="420"/>
        <w:rPr>
          <w:rFonts w:hint="eastAsia" w:ascii="宋体" w:hAnsi="宋体" w:eastAsia="宋体" w:cs="宋体"/>
          <w:highlight w:val="none"/>
        </w:rPr>
      </w:pPr>
      <w:r>
        <w:rPr>
          <w:rFonts w:hint="eastAsia" w:ascii="宋体" w:hAnsi="宋体" w:eastAsia="宋体" w:cs="宋体"/>
        </w:rPr>
        <w:t>——</w:t>
      </w:r>
      <w:r>
        <w:rPr>
          <w:rFonts w:hint="eastAsia" w:ascii="宋体" w:hAnsi="宋体" w:eastAsia="宋体" w:cs="宋体"/>
          <w:highlight w:val="none"/>
        </w:rPr>
        <w:t>DB14/T 1287  设施蔬菜固碳生产技术规程  日光温室结构与性能</w:t>
      </w:r>
    </w:p>
    <w:p>
      <w:pPr>
        <w:pStyle w:val="56"/>
        <w:ind w:firstLine="420"/>
        <w:rPr>
          <w:rFonts w:hint="eastAsia" w:ascii="宋体" w:hAnsi="宋体" w:eastAsia="宋体" w:cs="宋体"/>
          <w:highlight w:val="none"/>
        </w:rPr>
      </w:pPr>
      <w:r>
        <w:rPr>
          <w:rFonts w:hint="eastAsia" w:ascii="宋体" w:hAnsi="宋体" w:eastAsia="宋体" w:cs="宋体"/>
          <w:highlight w:val="none"/>
        </w:rPr>
        <w:t>——DB14/T 1281  设施蔬菜固碳生产技术规程</w:t>
      </w:r>
      <w:r>
        <w:rPr>
          <w:rFonts w:hint="eastAsia" w:ascii="宋体" w:hAnsi="宋体" w:eastAsia="宋体" w:cs="宋体"/>
          <w:highlight w:val="none"/>
          <w:lang w:val="en-US" w:eastAsia="zh-CN"/>
        </w:rPr>
        <w:t xml:space="preserve">  </w:t>
      </w:r>
      <w:r>
        <w:rPr>
          <w:rFonts w:hint="eastAsia" w:ascii="宋体" w:hAnsi="宋体" w:eastAsia="宋体" w:cs="宋体"/>
          <w:highlight w:val="none"/>
        </w:rPr>
        <w:t>果菜类育苗</w:t>
      </w:r>
    </w:p>
    <w:p>
      <w:pPr>
        <w:pStyle w:val="56"/>
        <w:ind w:firstLine="420"/>
        <w:rPr>
          <w:rFonts w:hint="eastAsia" w:ascii="宋体" w:hAnsi="宋体" w:eastAsia="宋体" w:cs="宋体"/>
          <w:highlight w:val="none"/>
        </w:rPr>
      </w:pPr>
      <w:r>
        <w:rPr>
          <w:rFonts w:hint="eastAsia" w:ascii="宋体" w:hAnsi="宋体" w:eastAsia="宋体" w:cs="宋体"/>
          <w:highlight w:val="none"/>
        </w:rPr>
        <w:t>——DB14/T 1279  设施蔬菜固碳生产技术规程</w:t>
      </w:r>
      <w:r>
        <w:rPr>
          <w:rFonts w:hint="eastAsia" w:ascii="宋体" w:hAnsi="宋体" w:eastAsia="宋体" w:cs="宋体"/>
          <w:highlight w:val="none"/>
          <w:lang w:val="en-US" w:eastAsia="zh-CN"/>
        </w:rPr>
        <w:t xml:space="preserve"> </w:t>
      </w:r>
      <w:r>
        <w:rPr>
          <w:rFonts w:hint="eastAsia" w:ascii="宋体" w:hAnsi="宋体" w:eastAsia="宋体" w:cs="宋体"/>
          <w:highlight w:val="none"/>
        </w:rPr>
        <w:t xml:space="preserve"> 日光温室番茄</w:t>
      </w:r>
    </w:p>
    <w:p>
      <w:pPr>
        <w:pStyle w:val="56"/>
        <w:ind w:firstLine="420"/>
        <w:rPr>
          <w:rFonts w:hint="eastAsia" w:ascii="宋体" w:hAnsi="宋体" w:eastAsia="宋体" w:cs="宋体"/>
          <w:highlight w:val="none"/>
        </w:rPr>
      </w:pPr>
      <w:r>
        <w:rPr>
          <w:rFonts w:hint="eastAsia" w:ascii="宋体" w:hAnsi="宋体" w:eastAsia="宋体" w:cs="宋体"/>
          <w:highlight w:val="none"/>
        </w:rPr>
        <w:t>——DB14/T 1282  设施蔬菜固碳生产技术规程</w:t>
      </w:r>
      <w:r>
        <w:rPr>
          <w:rFonts w:hint="eastAsia" w:ascii="宋体" w:hAnsi="宋体" w:eastAsia="宋体" w:cs="宋体"/>
          <w:highlight w:val="none"/>
          <w:lang w:val="en-US" w:eastAsia="zh-CN"/>
        </w:rPr>
        <w:t xml:space="preserve"> </w:t>
      </w:r>
      <w:r>
        <w:rPr>
          <w:rFonts w:hint="eastAsia" w:ascii="宋体" w:hAnsi="宋体" w:eastAsia="宋体" w:cs="宋体"/>
          <w:highlight w:val="none"/>
        </w:rPr>
        <w:t xml:space="preserve"> 日光温室黄瓜</w:t>
      </w:r>
    </w:p>
    <w:p>
      <w:pPr>
        <w:pStyle w:val="56"/>
        <w:ind w:firstLine="420"/>
        <w:rPr>
          <w:rFonts w:hint="eastAsia" w:ascii="宋体" w:hAnsi="宋体" w:eastAsia="宋体" w:cs="宋体"/>
          <w:highlight w:val="none"/>
        </w:rPr>
      </w:pPr>
      <w:r>
        <w:rPr>
          <w:rFonts w:hint="eastAsia" w:ascii="宋体" w:hAnsi="宋体" w:eastAsia="宋体" w:cs="宋体"/>
          <w:highlight w:val="none"/>
        </w:rPr>
        <w:t>——DB14/T 1283  设施蔬菜固碳生产技术规程</w:t>
      </w:r>
      <w:r>
        <w:rPr>
          <w:rFonts w:hint="eastAsia" w:ascii="宋体" w:hAnsi="宋体" w:eastAsia="宋体" w:cs="宋体"/>
          <w:highlight w:val="none"/>
          <w:lang w:val="en-US" w:eastAsia="zh-CN"/>
        </w:rPr>
        <w:t xml:space="preserve"> </w:t>
      </w:r>
      <w:r>
        <w:rPr>
          <w:rFonts w:hint="eastAsia" w:ascii="宋体" w:hAnsi="宋体" w:eastAsia="宋体" w:cs="宋体"/>
          <w:highlight w:val="none"/>
        </w:rPr>
        <w:t xml:space="preserve"> 日光温室辣椒</w:t>
      </w:r>
    </w:p>
    <w:p>
      <w:pPr>
        <w:pStyle w:val="56"/>
        <w:ind w:firstLine="420"/>
        <w:rPr>
          <w:rFonts w:hint="eastAsia" w:ascii="宋体" w:hAnsi="宋体" w:eastAsia="宋体" w:cs="宋体"/>
          <w:highlight w:val="none"/>
        </w:rPr>
      </w:pPr>
      <w:r>
        <w:rPr>
          <w:rFonts w:hint="eastAsia" w:ascii="宋体" w:hAnsi="宋体" w:eastAsia="宋体" w:cs="宋体"/>
          <w:highlight w:val="none"/>
        </w:rPr>
        <w:t xml:space="preserve">——DB14/T 1284  设施蔬菜固碳生产技术规程 </w:t>
      </w:r>
      <w:r>
        <w:rPr>
          <w:rFonts w:hint="eastAsia" w:ascii="宋体" w:hAnsi="宋体" w:eastAsia="宋体" w:cs="宋体"/>
          <w:highlight w:val="none"/>
          <w:lang w:val="en-US" w:eastAsia="zh-CN"/>
        </w:rPr>
        <w:t xml:space="preserve"> </w:t>
      </w:r>
      <w:r>
        <w:rPr>
          <w:rFonts w:hint="eastAsia" w:ascii="宋体" w:hAnsi="宋体" w:eastAsia="宋体" w:cs="宋体"/>
          <w:highlight w:val="none"/>
        </w:rPr>
        <w:t>日光温室胡萝卜</w:t>
      </w:r>
    </w:p>
    <w:p>
      <w:pPr>
        <w:pStyle w:val="56"/>
        <w:ind w:firstLine="420"/>
        <w:rPr>
          <w:rFonts w:hint="eastAsia" w:ascii="宋体" w:hAnsi="宋体" w:eastAsia="宋体" w:cs="宋体"/>
          <w:highlight w:val="none"/>
        </w:rPr>
      </w:pPr>
      <w:r>
        <w:rPr>
          <w:rFonts w:hint="eastAsia" w:ascii="宋体" w:hAnsi="宋体" w:eastAsia="宋体" w:cs="宋体"/>
          <w:highlight w:val="none"/>
        </w:rPr>
        <w:t xml:space="preserve">——DB14/T 1286  设施蔬菜固碳生产技术规程 </w:t>
      </w:r>
      <w:r>
        <w:rPr>
          <w:rFonts w:hint="eastAsia" w:ascii="宋体" w:hAnsi="宋体" w:eastAsia="宋体" w:cs="宋体"/>
          <w:highlight w:val="none"/>
          <w:lang w:val="en-US" w:eastAsia="zh-CN"/>
        </w:rPr>
        <w:t xml:space="preserve"> </w:t>
      </w:r>
      <w:r>
        <w:rPr>
          <w:rFonts w:hint="eastAsia" w:ascii="宋体" w:hAnsi="宋体" w:eastAsia="宋体" w:cs="宋体"/>
          <w:highlight w:val="none"/>
        </w:rPr>
        <w:t>日光温室茄子</w:t>
      </w:r>
    </w:p>
    <w:p>
      <w:pPr>
        <w:pStyle w:val="56"/>
        <w:ind w:firstLine="420"/>
        <w:rPr>
          <w:rFonts w:hint="eastAsia" w:ascii="宋体" w:hAnsi="宋体" w:eastAsia="宋体" w:cs="宋体"/>
          <w:highlight w:val="none"/>
        </w:rPr>
      </w:pPr>
      <w:r>
        <w:rPr>
          <w:rFonts w:hint="eastAsia" w:ascii="宋体" w:hAnsi="宋体" w:eastAsia="宋体" w:cs="宋体"/>
          <w:highlight w:val="none"/>
        </w:rPr>
        <w:t>——DB14/T 1289  设施蔬菜固碳生产技术规程</w:t>
      </w:r>
      <w:r>
        <w:rPr>
          <w:rFonts w:hint="eastAsia" w:ascii="宋体" w:hAnsi="宋体" w:eastAsia="宋体" w:cs="宋体"/>
          <w:highlight w:val="none"/>
          <w:lang w:val="en-US" w:eastAsia="zh-CN"/>
        </w:rPr>
        <w:t xml:space="preserve"> </w:t>
      </w:r>
      <w:r>
        <w:rPr>
          <w:rFonts w:hint="eastAsia" w:ascii="宋体" w:hAnsi="宋体" w:eastAsia="宋体" w:cs="宋体"/>
          <w:highlight w:val="none"/>
        </w:rPr>
        <w:t xml:space="preserve"> 塑料大棚番茄</w:t>
      </w:r>
    </w:p>
    <w:p>
      <w:pPr>
        <w:pStyle w:val="56"/>
        <w:ind w:firstLine="420"/>
        <w:rPr>
          <w:rFonts w:hint="eastAsia" w:ascii="宋体" w:hAnsi="宋体" w:eastAsia="宋体" w:cs="宋体"/>
          <w:highlight w:val="none"/>
        </w:rPr>
      </w:pPr>
      <w:r>
        <w:rPr>
          <w:rFonts w:hint="eastAsia" w:ascii="宋体" w:hAnsi="宋体" w:eastAsia="宋体" w:cs="宋体"/>
          <w:highlight w:val="none"/>
        </w:rPr>
        <w:t xml:space="preserve">——DB14/T 1555  设施蔬菜固碳生产技术规程 </w:t>
      </w:r>
      <w:r>
        <w:rPr>
          <w:rFonts w:hint="eastAsia" w:ascii="宋体" w:hAnsi="宋体" w:eastAsia="宋体" w:cs="宋体"/>
          <w:highlight w:val="none"/>
          <w:lang w:val="en-US" w:eastAsia="zh-CN"/>
        </w:rPr>
        <w:t xml:space="preserve"> </w:t>
      </w:r>
      <w:r>
        <w:rPr>
          <w:rFonts w:hint="eastAsia" w:ascii="宋体" w:hAnsi="宋体" w:eastAsia="宋体" w:cs="宋体"/>
          <w:highlight w:val="none"/>
        </w:rPr>
        <w:t>日光温室西芹</w:t>
      </w:r>
    </w:p>
    <w:p>
      <w:pPr>
        <w:pStyle w:val="56"/>
        <w:ind w:firstLine="420"/>
        <w:rPr>
          <w:rFonts w:hint="eastAsia" w:ascii="宋体" w:hAnsi="宋体" w:eastAsia="宋体" w:cs="宋体"/>
          <w:highlight w:val="none"/>
        </w:rPr>
      </w:pPr>
      <w:r>
        <w:rPr>
          <w:rFonts w:hint="eastAsia" w:ascii="宋体" w:hAnsi="宋体" w:eastAsia="宋体" w:cs="宋体"/>
          <w:highlight w:val="none"/>
        </w:rPr>
        <w:t>——DB14/T 1562  设施蔬菜固碳生产技术规程</w:t>
      </w:r>
      <w:r>
        <w:rPr>
          <w:rFonts w:hint="eastAsia" w:ascii="宋体" w:hAnsi="宋体" w:eastAsia="宋体" w:cs="宋体"/>
          <w:highlight w:val="none"/>
          <w:lang w:val="en-US" w:eastAsia="zh-CN"/>
        </w:rPr>
        <w:t xml:space="preserve"> </w:t>
      </w:r>
      <w:r>
        <w:rPr>
          <w:rFonts w:hint="eastAsia" w:ascii="宋体" w:hAnsi="宋体" w:eastAsia="宋体" w:cs="宋体"/>
          <w:highlight w:val="none"/>
        </w:rPr>
        <w:t xml:space="preserve"> 塑料大棚茄子</w:t>
      </w:r>
    </w:p>
    <w:p>
      <w:pPr>
        <w:pStyle w:val="56"/>
        <w:ind w:firstLine="420"/>
        <w:rPr>
          <w:rFonts w:hint="eastAsia" w:ascii="宋体" w:hAnsi="宋体" w:eastAsia="宋体" w:cs="宋体"/>
          <w:highlight w:val="none"/>
        </w:rPr>
      </w:pPr>
      <w:r>
        <w:rPr>
          <w:rFonts w:hint="eastAsia" w:ascii="宋体" w:hAnsi="宋体" w:eastAsia="宋体" w:cs="宋体"/>
          <w:highlight w:val="none"/>
        </w:rPr>
        <w:t xml:space="preserve">——DB14/T 1563  设施蔬菜固碳生产技术规程 </w:t>
      </w:r>
      <w:r>
        <w:rPr>
          <w:rFonts w:hint="eastAsia" w:ascii="宋体" w:hAnsi="宋体" w:eastAsia="宋体" w:cs="宋体"/>
          <w:highlight w:val="none"/>
          <w:lang w:val="en-US" w:eastAsia="zh-CN"/>
        </w:rPr>
        <w:t xml:space="preserve"> </w:t>
      </w:r>
      <w:r>
        <w:rPr>
          <w:rFonts w:hint="eastAsia" w:ascii="宋体" w:hAnsi="宋体" w:eastAsia="宋体" w:cs="宋体"/>
          <w:highlight w:val="none"/>
        </w:rPr>
        <w:t>西瓜</w:t>
      </w:r>
    </w:p>
    <w:p>
      <w:pPr>
        <w:pStyle w:val="56"/>
        <w:ind w:firstLine="420"/>
        <w:rPr>
          <w:rFonts w:hint="eastAsia" w:ascii="宋体" w:hAnsi="宋体" w:eastAsia="宋体" w:cs="宋体"/>
          <w:highlight w:val="none"/>
        </w:rPr>
      </w:pPr>
      <w:r>
        <w:rPr>
          <w:rFonts w:hint="eastAsia" w:ascii="宋体" w:hAnsi="宋体" w:eastAsia="宋体" w:cs="宋体"/>
          <w:highlight w:val="none"/>
        </w:rPr>
        <w:t xml:space="preserve">——DB14/T 1564  设施蔬菜固碳生产技术规程 </w:t>
      </w:r>
      <w:r>
        <w:rPr>
          <w:rFonts w:hint="eastAsia" w:ascii="宋体" w:hAnsi="宋体" w:eastAsia="宋体" w:cs="宋体"/>
          <w:highlight w:val="none"/>
          <w:lang w:val="en-US" w:eastAsia="zh-CN"/>
        </w:rPr>
        <w:t xml:space="preserve"> </w:t>
      </w:r>
      <w:r>
        <w:rPr>
          <w:rFonts w:hint="eastAsia" w:ascii="宋体" w:hAnsi="宋体" w:eastAsia="宋体" w:cs="宋体"/>
          <w:highlight w:val="none"/>
        </w:rPr>
        <w:t>塑料大棚西葫芦</w:t>
      </w:r>
    </w:p>
    <w:p>
      <w:pPr>
        <w:pStyle w:val="56"/>
        <w:ind w:firstLine="420"/>
        <w:rPr>
          <w:rFonts w:hint="eastAsia" w:ascii="宋体" w:hAnsi="宋体" w:eastAsia="宋体" w:cs="宋体"/>
          <w:highlight w:val="none"/>
        </w:rPr>
      </w:pPr>
      <w:r>
        <w:rPr>
          <w:rFonts w:hint="eastAsia" w:ascii="宋体" w:hAnsi="宋体" w:eastAsia="宋体" w:cs="宋体"/>
          <w:highlight w:val="none"/>
        </w:rPr>
        <w:t xml:space="preserve">——DB14/T 1565  设施蔬菜固碳生产技术规程 </w:t>
      </w:r>
      <w:r>
        <w:rPr>
          <w:rFonts w:hint="eastAsia" w:ascii="宋体" w:hAnsi="宋体" w:eastAsia="宋体" w:cs="宋体"/>
          <w:highlight w:val="none"/>
          <w:lang w:val="en-US" w:eastAsia="zh-CN"/>
        </w:rPr>
        <w:t xml:space="preserve"> </w:t>
      </w:r>
      <w:r>
        <w:rPr>
          <w:rFonts w:hint="eastAsia" w:ascii="宋体" w:hAnsi="宋体" w:eastAsia="宋体" w:cs="宋体"/>
          <w:highlight w:val="none"/>
        </w:rPr>
        <w:t>塑料大棚黄瓜</w:t>
      </w:r>
    </w:p>
    <w:p>
      <w:pPr>
        <w:pStyle w:val="56"/>
        <w:ind w:firstLine="420"/>
        <w:rPr>
          <w:rFonts w:hint="eastAsia" w:ascii="宋体" w:hAnsi="宋体" w:eastAsia="宋体" w:cs="宋体"/>
          <w:highlight w:val="none"/>
        </w:rPr>
      </w:pPr>
      <w:r>
        <w:rPr>
          <w:rFonts w:hint="eastAsia" w:ascii="宋体" w:hAnsi="宋体" w:eastAsia="宋体" w:cs="宋体"/>
          <w:highlight w:val="none"/>
        </w:rPr>
        <w:t xml:space="preserve">——DB14/T 1568  设施蔬菜固碳生产技术规程 </w:t>
      </w:r>
      <w:r>
        <w:rPr>
          <w:rFonts w:hint="eastAsia" w:ascii="宋体" w:hAnsi="宋体" w:eastAsia="宋体" w:cs="宋体"/>
          <w:highlight w:val="none"/>
          <w:lang w:val="en-US" w:eastAsia="zh-CN"/>
        </w:rPr>
        <w:t xml:space="preserve"> </w:t>
      </w:r>
      <w:r>
        <w:rPr>
          <w:rFonts w:hint="eastAsia" w:ascii="宋体" w:hAnsi="宋体" w:eastAsia="宋体" w:cs="宋体"/>
          <w:highlight w:val="none"/>
        </w:rPr>
        <w:t>日光温室生菜</w:t>
      </w:r>
    </w:p>
    <w:p>
      <w:pPr>
        <w:pStyle w:val="56"/>
        <w:ind w:firstLine="420"/>
        <w:rPr>
          <w:rFonts w:hint="eastAsia" w:ascii="宋体" w:hAnsi="宋体" w:eastAsia="宋体" w:cs="宋体"/>
        </w:rPr>
      </w:pPr>
      <w:r>
        <w:rPr>
          <w:rFonts w:hint="eastAsia" w:ascii="宋体" w:hAnsi="宋体" w:eastAsia="宋体" w:cs="宋体"/>
          <w:highlight w:val="none"/>
        </w:rPr>
        <w:t xml:space="preserve">——DB14/T 1569  设施蔬菜固碳生产技术规程 </w:t>
      </w:r>
      <w:r>
        <w:rPr>
          <w:rFonts w:hint="eastAsia" w:ascii="宋体" w:hAnsi="宋体" w:eastAsia="宋体" w:cs="宋体"/>
          <w:highlight w:val="none"/>
          <w:lang w:val="en-US" w:eastAsia="zh-CN"/>
        </w:rPr>
        <w:t xml:space="preserve"> </w:t>
      </w:r>
      <w:r>
        <w:rPr>
          <w:rFonts w:hint="eastAsia" w:ascii="宋体" w:hAnsi="宋体" w:eastAsia="宋体" w:cs="宋体"/>
          <w:highlight w:val="none"/>
        </w:rPr>
        <w:t>日光温室西葫芦</w:t>
      </w:r>
    </w:p>
    <w:p>
      <w:pPr>
        <w:pStyle w:val="56"/>
        <w:ind w:firstLine="420"/>
        <w:rPr>
          <w:rFonts w:hint="eastAsia" w:ascii="宋体" w:hAnsi="宋体" w:eastAsia="宋体" w:cs="宋体"/>
        </w:rPr>
      </w:pPr>
      <w:r>
        <w:rPr>
          <w:rFonts w:hint="eastAsia" w:ascii="宋体" w:hAnsi="宋体" w:eastAsia="宋体" w:cs="宋体"/>
        </w:rPr>
        <w:t>本文件代替DB14/T 1288—2016《塑料大棚二氧化碳施肥技术规程》</w:t>
      </w:r>
      <w:r>
        <w:rPr>
          <w:rFonts w:hint="eastAsia" w:ascii="宋体" w:hAnsi="宋体" w:eastAsia="宋体" w:cs="宋体"/>
          <w:lang w:val="en-US" w:eastAsia="zh-CN"/>
        </w:rPr>
        <w:t>和</w:t>
      </w:r>
      <w:r>
        <w:rPr>
          <w:rFonts w:hint="eastAsia" w:ascii="宋体" w:hAnsi="宋体" w:eastAsia="宋体" w:cs="宋体"/>
        </w:rPr>
        <w:t>DB14/T 1295—2016《日光温室二氧化碳施肥技术规程》，与DB14/T 12</w:t>
      </w:r>
      <w:r>
        <w:rPr>
          <w:rFonts w:hint="eastAsia" w:ascii="宋体" w:hAnsi="宋体" w:eastAsia="宋体" w:cs="宋体"/>
          <w:lang w:val="en-US" w:eastAsia="zh-CN"/>
        </w:rPr>
        <w:t>88</w:t>
      </w:r>
      <w:r>
        <w:rPr>
          <w:rFonts w:hint="eastAsia" w:ascii="宋体" w:hAnsi="宋体" w:eastAsia="宋体" w:cs="宋体"/>
        </w:rPr>
        <w:t>—2016和DB14/T 12</w:t>
      </w:r>
      <w:r>
        <w:rPr>
          <w:rFonts w:hint="eastAsia" w:ascii="宋体" w:hAnsi="宋体" w:eastAsia="宋体" w:cs="宋体"/>
          <w:lang w:val="en-US" w:eastAsia="zh-CN"/>
        </w:rPr>
        <w:t>95</w:t>
      </w:r>
      <w:r>
        <w:rPr>
          <w:rFonts w:hint="eastAsia" w:ascii="宋体" w:hAnsi="宋体" w:eastAsia="宋体" w:cs="宋体"/>
        </w:rPr>
        <w:t>—2016相比，除结构调整和编辑性改动外，主要技术变化如下：</w:t>
      </w:r>
    </w:p>
    <w:p>
      <w:pPr>
        <w:pStyle w:val="56"/>
        <w:ind w:firstLine="420"/>
      </w:pPr>
      <w:r>
        <w:rPr>
          <w:rFonts w:hint="eastAsia" w:ascii="Times New Roman"/>
        </w:rPr>
        <w:t>——</w:t>
      </w:r>
      <w:r>
        <w:rPr>
          <w:rFonts w:hint="eastAsia"/>
        </w:rPr>
        <w:t>更改了范围（见1）；</w:t>
      </w:r>
    </w:p>
    <w:p>
      <w:pPr>
        <w:pStyle w:val="56"/>
        <w:ind w:firstLine="420"/>
      </w:pPr>
      <w:r>
        <w:rPr>
          <w:rFonts w:hint="eastAsia" w:ascii="Times New Roman"/>
        </w:rPr>
        <w:t>——</w:t>
      </w:r>
      <w:r>
        <w:rPr>
          <w:rFonts w:hint="eastAsia"/>
        </w:rPr>
        <w:t>更改了原术语和定义内容（</w:t>
      </w:r>
      <w:r>
        <w:rPr>
          <w:rFonts w:hint="eastAsia"/>
          <w:lang w:eastAsia="zh-CN"/>
        </w:rPr>
        <w:t>见</w:t>
      </w:r>
      <w:r>
        <w:rPr>
          <w:rFonts w:hint="eastAsia"/>
          <w:lang w:val="en-US" w:eastAsia="zh-CN"/>
        </w:rPr>
        <w:t>3.2、3.3，</w:t>
      </w:r>
      <w:r>
        <w:rPr>
          <w:rFonts w:hint="eastAsia"/>
        </w:rPr>
        <w:t>2016 年版的3.2、3.3）；</w:t>
      </w:r>
    </w:p>
    <w:p>
      <w:pPr>
        <w:pStyle w:val="56"/>
        <w:ind w:firstLine="420"/>
      </w:pPr>
      <w:r>
        <w:rPr>
          <w:rFonts w:hint="eastAsia" w:ascii="Times New Roman"/>
        </w:rPr>
        <w:t>——</w:t>
      </w:r>
      <w:r>
        <w:rPr>
          <w:rFonts w:hint="eastAsia"/>
        </w:rPr>
        <w:t>更改了设施结构与环境（见4）；</w:t>
      </w:r>
    </w:p>
    <w:p>
      <w:pPr>
        <w:pStyle w:val="56"/>
        <w:ind w:firstLine="420"/>
        <w:rPr>
          <w:rFonts w:hint="eastAsia" w:ascii="Times New Roman" w:eastAsia="宋体"/>
          <w:lang w:eastAsia="zh-CN"/>
        </w:rPr>
      </w:pPr>
      <w:r>
        <w:rPr>
          <w:rFonts w:hint="eastAsia" w:ascii="Times New Roman"/>
        </w:rPr>
        <w:t>——</w:t>
      </w:r>
      <w:r>
        <w:rPr>
          <w:rFonts w:hint="eastAsia" w:ascii="Times New Roman"/>
          <w:lang w:val="en-US" w:eastAsia="zh-CN"/>
        </w:rPr>
        <w:t>删除</w:t>
      </w:r>
      <w:r>
        <w:rPr>
          <w:rFonts w:hint="eastAsia"/>
        </w:rPr>
        <w:t>了</w:t>
      </w:r>
      <w:r>
        <w:rPr>
          <w:rFonts w:hint="eastAsia"/>
          <w:lang w:val="en-US" w:eastAsia="zh-CN"/>
        </w:rPr>
        <w:t>简易施肥法</w:t>
      </w:r>
      <w:r>
        <w:rPr>
          <w:rFonts w:hint="eastAsia"/>
        </w:rPr>
        <w:t>（见2016 年版</w:t>
      </w:r>
      <w:r>
        <w:rPr>
          <w:rFonts w:hint="eastAsia"/>
          <w:lang w:val="en-US" w:eastAsia="zh-CN"/>
        </w:rPr>
        <w:t>的</w:t>
      </w:r>
      <w:r>
        <w:rPr>
          <w:rFonts w:hint="eastAsia"/>
        </w:rPr>
        <w:t>7.1）</w:t>
      </w:r>
      <w:r>
        <w:rPr>
          <w:rFonts w:hint="eastAsia"/>
          <w:lang w:eastAsia="zh-CN"/>
        </w:rPr>
        <w:t>；</w:t>
      </w:r>
    </w:p>
    <w:p>
      <w:pPr>
        <w:pStyle w:val="56"/>
        <w:ind w:firstLine="420"/>
      </w:pPr>
      <w:r>
        <w:rPr>
          <w:rFonts w:hint="eastAsia" w:ascii="Times New Roman"/>
        </w:rPr>
        <w:t>——增加</w:t>
      </w:r>
      <w:r>
        <w:rPr>
          <w:rFonts w:hint="eastAsia"/>
        </w:rPr>
        <w:t>了二氧化碳气源和供气系统（见7.1、7.2）</w:t>
      </w:r>
    </w:p>
    <w:p>
      <w:pPr>
        <w:pStyle w:val="56"/>
        <w:ind w:firstLine="420"/>
      </w:pPr>
      <w:r>
        <w:rPr>
          <w:rFonts w:hint="eastAsia" w:ascii="Times New Roman"/>
        </w:rPr>
        <w:t>——</w:t>
      </w:r>
      <w:r>
        <w:rPr>
          <w:rFonts w:hint="eastAsia"/>
        </w:rPr>
        <w:t>更改了智能释放法（见7.3）；</w:t>
      </w:r>
    </w:p>
    <w:p>
      <w:pPr>
        <w:pStyle w:val="56"/>
        <w:ind w:firstLine="420"/>
        <w:rPr>
          <w:rFonts w:ascii="Times New Roman"/>
        </w:rPr>
      </w:pPr>
      <w:r>
        <w:rPr>
          <w:rFonts w:ascii="Times New Roman"/>
        </w:rPr>
        <w:t>本</w:t>
      </w:r>
      <w:r>
        <w:rPr>
          <w:rFonts w:hint="eastAsia" w:ascii="Times New Roman"/>
        </w:rPr>
        <w:t>文件由山西省农业农村厅提出、组织实施和监督检查。</w:t>
      </w:r>
    </w:p>
    <w:p>
      <w:pPr>
        <w:pStyle w:val="56"/>
        <w:ind w:firstLine="420"/>
      </w:pPr>
      <w:r>
        <w:rPr>
          <w:rFonts w:hint="eastAsia"/>
        </w:rPr>
        <w:t>本文件由山西省市场监督管理局对标准的组织实施情况进行监督检查。</w:t>
      </w:r>
    </w:p>
    <w:p>
      <w:pPr>
        <w:pStyle w:val="56"/>
        <w:ind w:firstLine="420"/>
      </w:pPr>
      <w:r>
        <w:rPr>
          <w:rFonts w:hint="eastAsia"/>
        </w:rPr>
        <w:t>本文件由山西省农业标准化技术委员会（SXS/TC19）归口。</w:t>
      </w:r>
    </w:p>
    <w:p>
      <w:pPr>
        <w:pStyle w:val="56"/>
        <w:ind w:firstLine="420"/>
      </w:pPr>
      <w:r>
        <w:rPr>
          <w:rFonts w:hint="eastAsia"/>
        </w:rPr>
        <w:t>本文件起草单位：山西农业大学。</w:t>
      </w:r>
    </w:p>
    <w:p>
      <w:pPr>
        <w:pStyle w:val="56"/>
        <w:ind w:firstLine="420"/>
      </w:pPr>
      <w:r>
        <w:rPr>
          <w:rFonts w:hint="eastAsia"/>
        </w:rPr>
        <w:t>本文件主要起草人：李斌、侯雷平、张毅、韩玲娟、王文娇、石玉、苗妍秀、李梅兰、邢国明</w:t>
      </w:r>
    </w:p>
    <w:p>
      <w:pPr>
        <w:pStyle w:val="56"/>
        <w:ind w:firstLine="420"/>
      </w:pPr>
      <w:r>
        <w:rPr>
          <w:rFonts w:hint="eastAsia"/>
        </w:rPr>
        <w:t>本文件及其所代替文件的历史版本发布情况为：</w:t>
      </w:r>
    </w:p>
    <w:p>
      <w:pPr>
        <w:pStyle w:val="56"/>
        <w:ind w:firstLine="420"/>
      </w:pPr>
      <w:r>
        <w:rPr>
          <w:rFonts w:hint="eastAsia"/>
        </w:rPr>
        <w:t>——2016年首次发布为DB14/T 1288-2016和DB14/T 1295-2016；</w:t>
      </w:r>
    </w:p>
    <w:p>
      <w:pPr>
        <w:pStyle w:val="56"/>
        <w:ind w:firstLine="420"/>
      </w:pPr>
      <w:r>
        <w:rPr>
          <w:rFonts w:hint="eastAsia"/>
        </w:rPr>
        <w:t xml:space="preserve">——本次为第一次修订。   </w:t>
      </w:r>
    </w:p>
    <w:p>
      <w:pPr>
        <w:pStyle w:val="56"/>
        <w:ind w:firstLine="420"/>
        <w:sectPr>
          <w:pgSz w:w="11906" w:h="16838"/>
          <w:pgMar w:top="1871" w:right="1134" w:bottom="1134" w:left="1134" w:header="1418" w:footer="1134" w:gutter="284"/>
          <w:pgNumType w:fmt="upperRoman"/>
          <w:cols w:space="425" w:num="1"/>
          <w:formProt w:val="0"/>
          <w:docGrid w:type="lines" w:linePitch="312" w:charSpace="0"/>
        </w:sectPr>
      </w:pPr>
    </w:p>
    <w:bookmarkEnd w:id="24"/>
    <w:p>
      <w:pPr>
        <w:spacing w:line="20" w:lineRule="exact"/>
        <w:jc w:val="center"/>
        <w:rPr>
          <w:rFonts w:ascii="黑体" w:hAnsi="黑体" w:eastAsia="黑体"/>
          <w:sz w:val="32"/>
          <w:szCs w:val="32"/>
        </w:rPr>
      </w:pPr>
      <w:bookmarkStart w:id="25" w:name="BookMark4"/>
    </w:p>
    <w:p>
      <w:pPr>
        <w:spacing w:line="20" w:lineRule="exact"/>
        <w:jc w:val="center"/>
        <w:rPr>
          <w:rFonts w:ascii="黑体" w:hAnsi="黑体" w:eastAsia="黑体"/>
          <w:sz w:val="32"/>
          <w:szCs w:val="32"/>
        </w:rPr>
      </w:pPr>
    </w:p>
    <w:sdt>
      <w:sdtPr>
        <w:tag w:val="NEW_STAND_NAME"/>
        <w:id w:val="595910757"/>
        <w:lock w:val="sdtLocked"/>
        <w:placeholder>
          <w:docPart w:val="FD096C766D4F4DD581463AE813DEBE1C"/>
        </w:placeholder>
      </w:sdtPr>
      <w:sdtContent>
        <w:p>
          <w:pPr>
            <w:pStyle w:val="177"/>
            <w:spacing w:before="312" w:beforeLines="100" w:after="686" w:afterLines="220"/>
          </w:pPr>
          <w:bookmarkStart w:id="26" w:name="NEW_STAND_NAME"/>
          <w:r>
            <w:rPr>
              <w:rFonts w:hint="eastAsia"/>
            </w:rPr>
            <w:t>设施蔬菜二氧化碳施肥技术</w:t>
          </w:r>
        </w:p>
      </w:sdtContent>
    </w:sdt>
    <w:bookmarkEnd w:id="26"/>
    <w:p>
      <w:pPr>
        <w:pStyle w:val="104"/>
        <w:spacing w:before="312" w:after="312"/>
      </w:pPr>
      <w:bookmarkStart w:id="27" w:name="_Toc26648465"/>
      <w:bookmarkStart w:id="28" w:name="_Toc163420145"/>
      <w:bookmarkStart w:id="29" w:name="_Toc26986771"/>
      <w:bookmarkStart w:id="30" w:name="_Toc163419279"/>
      <w:bookmarkStart w:id="31" w:name="_Toc24884218"/>
      <w:bookmarkStart w:id="32" w:name="_Toc26986530"/>
      <w:bookmarkStart w:id="33" w:name="_Toc17233333"/>
      <w:bookmarkStart w:id="34" w:name="_Toc24884211"/>
      <w:bookmarkStart w:id="35" w:name="_Toc17233325"/>
      <w:bookmarkStart w:id="36" w:name="_Toc26718930"/>
      <w:r>
        <w:rPr>
          <w:rFonts w:hint="eastAsia"/>
        </w:rPr>
        <w:t>范围</w:t>
      </w:r>
      <w:bookmarkEnd w:id="27"/>
      <w:bookmarkEnd w:id="28"/>
      <w:bookmarkEnd w:id="29"/>
      <w:bookmarkEnd w:id="30"/>
      <w:bookmarkEnd w:id="31"/>
      <w:bookmarkEnd w:id="32"/>
      <w:bookmarkEnd w:id="33"/>
      <w:bookmarkEnd w:id="34"/>
      <w:bookmarkEnd w:id="35"/>
      <w:bookmarkEnd w:id="36"/>
    </w:p>
    <w:p>
      <w:pPr>
        <w:pStyle w:val="56"/>
        <w:ind w:firstLine="420"/>
      </w:pPr>
      <w:bookmarkStart w:id="37" w:name="_Toc17233334"/>
      <w:bookmarkStart w:id="38" w:name="_Toc26648466"/>
      <w:bookmarkStart w:id="39" w:name="_Toc17233326"/>
      <w:bookmarkStart w:id="40" w:name="_Toc24884212"/>
      <w:bookmarkStart w:id="41" w:name="_Toc24884219"/>
      <w:r>
        <w:t>本</w:t>
      </w:r>
      <w:r>
        <w:rPr>
          <w:rFonts w:hint="eastAsia"/>
        </w:rPr>
        <w:t>文件</w:t>
      </w:r>
      <w:r>
        <w:t>规定了</w:t>
      </w:r>
      <w:r>
        <w:rPr>
          <w:rFonts w:hint="eastAsia"/>
        </w:rPr>
        <w:t>设施蔬菜二氧化碳施肥技术的术语和定义、设施结构与环境、</w:t>
      </w:r>
      <w:r>
        <w:t>施肥浓度、</w:t>
      </w:r>
      <w:r>
        <w:rPr>
          <w:rFonts w:hint="eastAsia"/>
        </w:rPr>
        <w:t>施肥时间、施肥</w:t>
      </w:r>
      <w:r>
        <w:t>方</w:t>
      </w:r>
      <w:r>
        <w:rPr>
          <w:rFonts w:hint="eastAsia"/>
        </w:rPr>
        <w:t>法、配套管理、注意事项和生产档案</w:t>
      </w:r>
      <w:r>
        <w:t>。</w:t>
      </w:r>
    </w:p>
    <w:p>
      <w:pPr>
        <w:pStyle w:val="56"/>
        <w:ind w:firstLine="420"/>
        <w:rPr>
          <w:bCs/>
        </w:rPr>
      </w:pPr>
      <w:r>
        <w:t>本</w:t>
      </w:r>
      <w:r>
        <w:rPr>
          <w:rFonts w:hint="eastAsia"/>
        </w:rPr>
        <w:t>文件</w:t>
      </w:r>
      <w:r>
        <w:t>适用于</w:t>
      </w:r>
      <w:r>
        <w:rPr>
          <w:rFonts w:hint="eastAsia"/>
        </w:rPr>
        <w:t>日光温室和塑料大棚蔬菜固碳生产</w:t>
      </w:r>
      <w:r>
        <w:t>。</w:t>
      </w:r>
    </w:p>
    <w:p>
      <w:pPr>
        <w:pStyle w:val="104"/>
        <w:spacing w:before="312" w:after="312"/>
      </w:pPr>
      <w:bookmarkStart w:id="42" w:name="_Toc26986772"/>
      <w:bookmarkStart w:id="43" w:name="_Toc163419280"/>
      <w:bookmarkStart w:id="44" w:name="_Toc163420146"/>
      <w:bookmarkStart w:id="45" w:name="_Toc26718931"/>
      <w:bookmarkStart w:id="46" w:name="_Toc26986531"/>
      <w:r>
        <w:rPr>
          <w:rFonts w:hint="eastAsia"/>
        </w:rPr>
        <w:t>规范性引用文件</w:t>
      </w:r>
      <w:bookmarkEnd w:id="37"/>
      <w:bookmarkEnd w:id="38"/>
      <w:bookmarkEnd w:id="39"/>
      <w:bookmarkEnd w:id="40"/>
      <w:bookmarkEnd w:id="41"/>
      <w:bookmarkEnd w:id="42"/>
      <w:bookmarkEnd w:id="43"/>
      <w:bookmarkEnd w:id="44"/>
      <w:bookmarkEnd w:id="45"/>
      <w:bookmarkEnd w:id="46"/>
    </w:p>
    <w:sdt>
      <w:sdtPr>
        <w:rPr>
          <w:rFonts w:hint="eastAsia"/>
        </w:rPr>
        <w:id w:val="715848253"/>
        <w:placeholder>
          <w:docPart w:val="C241FDDF18C04B58B03D0235AB0801AD"/>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6"/>
        <w:ind w:firstLine="420"/>
      </w:pPr>
      <w:r>
        <w:t>GB 2</w:t>
      </w:r>
      <w:r>
        <w:rPr>
          <w:rFonts w:hint="eastAsia"/>
        </w:rPr>
        <w:t>894 安全标志及其使用导则</w:t>
      </w:r>
    </w:p>
    <w:p>
      <w:pPr>
        <w:pStyle w:val="56"/>
        <w:ind w:firstLine="420"/>
      </w:pPr>
      <w:r>
        <w:t>GB/T 6052 工业液体二氧化碳</w:t>
      </w:r>
    </w:p>
    <w:p>
      <w:pPr>
        <w:pStyle w:val="56"/>
        <w:ind w:firstLine="420"/>
      </w:pPr>
      <w:r>
        <w:t>GB/T 23393</w:t>
      </w:r>
      <w:r>
        <w:rPr>
          <w:rFonts w:hint="eastAsia"/>
        </w:rPr>
        <w:t xml:space="preserve"> </w:t>
      </w:r>
      <w:r>
        <w:t>设施园艺工程术语</w:t>
      </w:r>
    </w:p>
    <w:p>
      <w:pPr>
        <w:pStyle w:val="56"/>
        <w:ind w:firstLine="420"/>
      </w:pPr>
      <w:r>
        <w:t xml:space="preserve">GB/T 42797 二氧化碳捕集、输送和地质封存 </w:t>
      </w:r>
      <w:r>
        <w:rPr>
          <w:rFonts w:hint="eastAsia"/>
        </w:rPr>
        <w:t xml:space="preserve"> </w:t>
      </w:r>
      <w:r>
        <w:t>管道输送系统</w:t>
      </w:r>
    </w:p>
    <w:p>
      <w:pPr>
        <w:pStyle w:val="56"/>
        <w:ind w:firstLine="420"/>
      </w:pPr>
      <w:r>
        <w:t xml:space="preserve">GB/T </w:t>
      </w:r>
      <w:r>
        <w:rPr>
          <w:rFonts w:hint="eastAsia"/>
        </w:rPr>
        <w:t xml:space="preserve">51057 </w:t>
      </w:r>
      <w:r>
        <w:t>种植塑料大棚工程技术规划</w:t>
      </w:r>
    </w:p>
    <w:p>
      <w:pPr>
        <w:pStyle w:val="56"/>
        <w:ind w:firstLine="420"/>
      </w:pPr>
      <w:r>
        <w:rPr>
          <w:rFonts w:hint="eastAsia"/>
        </w:rPr>
        <w:t>J</w:t>
      </w:r>
      <w:r>
        <w:t>B/T 1</w:t>
      </w:r>
      <w:r>
        <w:rPr>
          <w:rFonts w:hint="eastAsia"/>
        </w:rPr>
        <w:t>0594</w:t>
      </w:r>
      <w:r>
        <w:t xml:space="preserve"> 日光温室和塑料大棚结构与性能要求</w:t>
      </w:r>
    </w:p>
    <w:p>
      <w:pPr>
        <w:pStyle w:val="56"/>
        <w:ind w:firstLine="420"/>
      </w:pPr>
      <w:r>
        <w:t>NY/T 4300  气候智慧型农业 作物生产固碳减排监测与核算规范</w:t>
      </w:r>
    </w:p>
    <w:p>
      <w:pPr>
        <w:pStyle w:val="56"/>
        <w:ind w:firstLine="420"/>
      </w:pPr>
      <w:r>
        <w:t xml:space="preserve">DB14/T </w:t>
      </w:r>
      <w:r>
        <w:rPr>
          <w:rFonts w:hint="eastAsia"/>
        </w:rPr>
        <w:t>1190</w:t>
      </w:r>
      <w:r>
        <w:t xml:space="preserve"> 日光温室蔬菜栽培环境调控技术规范</w:t>
      </w:r>
    </w:p>
    <w:p>
      <w:pPr>
        <w:pStyle w:val="104"/>
        <w:spacing w:before="312" w:after="312"/>
      </w:pPr>
      <w:bookmarkStart w:id="47" w:name="_Toc163419281"/>
      <w:bookmarkStart w:id="48" w:name="_Toc163420147"/>
      <w:r>
        <w:rPr>
          <w:rFonts w:hint="eastAsia"/>
          <w:szCs w:val="21"/>
        </w:rPr>
        <w:t>术语和定义</w:t>
      </w:r>
      <w:bookmarkEnd w:id="47"/>
      <w:bookmarkEnd w:id="48"/>
    </w:p>
    <w:sdt>
      <w:sdtPr>
        <w:id w:val="-1909835108"/>
        <w:placeholder>
          <w:docPart w:val="A935BB94EDC24B30A199788CF5C5CE50"/>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6"/>
            <w:ind w:firstLine="420"/>
          </w:pPr>
          <w:bookmarkStart w:id="49" w:name="_Toc26986532"/>
          <w:bookmarkEnd w:id="49"/>
          <w:r>
            <w:t>下列术语和定义适用于本文件。</w:t>
          </w:r>
        </w:p>
      </w:sdtContent>
    </w:sdt>
    <w:p>
      <w:pPr>
        <w:pStyle w:val="223"/>
        <w:ind w:left="420" w:hanging="420" w:hangingChars="200"/>
        <w:rPr>
          <w:rFonts w:ascii="黑体" w:hAnsi="黑体" w:eastAsia="黑体"/>
        </w:rPr>
      </w:pPr>
      <w:r>
        <w:rPr>
          <w:rFonts w:ascii="黑体" w:hAnsi="黑体" w:eastAsia="黑体"/>
        </w:rPr>
        <w:br w:type="textWrapping"/>
      </w:r>
      <w:r>
        <w:rPr>
          <w:rFonts w:ascii="黑体" w:hAnsi="黑体" w:eastAsia="黑体"/>
        </w:rPr>
        <w:t>二氧化碳施肥</w:t>
      </w:r>
    </w:p>
    <w:p>
      <w:pPr>
        <w:pStyle w:val="56"/>
        <w:ind w:firstLine="420"/>
        <w:rPr>
          <w:kern w:val="2"/>
        </w:rPr>
      </w:pPr>
      <w:r>
        <w:rPr>
          <w:rFonts w:hint="eastAsia"/>
        </w:rPr>
        <w:t>通过提高设施内</w:t>
      </w:r>
      <w:r>
        <w:t>CO</w:t>
      </w:r>
      <w:r>
        <w:rPr>
          <w:vertAlign w:val="subscript"/>
        </w:rPr>
        <w:t>2</w:t>
      </w:r>
      <w:r>
        <w:rPr>
          <w:rFonts w:hint="eastAsia"/>
        </w:rPr>
        <w:t>浓度，满足作物光合作用对</w:t>
      </w:r>
      <w:r>
        <w:t>CO</w:t>
      </w:r>
      <w:r>
        <w:rPr>
          <w:vertAlign w:val="subscript"/>
        </w:rPr>
        <w:t>2</w:t>
      </w:r>
      <w:r>
        <w:rPr>
          <w:rFonts w:hint="eastAsia"/>
        </w:rPr>
        <w:t>的需求，提高作物产量、品质的措施，参照标准</w:t>
      </w:r>
      <w:r>
        <w:t>GB/T 23393</w:t>
      </w:r>
      <w:r>
        <w:rPr>
          <w:rFonts w:hint="eastAsia"/>
        </w:rPr>
        <w:t>。</w:t>
      </w:r>
    </w:p>
    <w:p>
      <w:pPr>
        <w:pStyle w:val="223"/>
        <w:ind w:left="420" w:hanging="420" w:hangingChars="200"/>
        <w:rPr>
          <w:rFonts w:ascii="黑体" w:hAnsi="黑体" w:eastAsia="黑体"/>
        </w:rPr>
      </w:pPr>
      <w:r>
        <w:rPr>
          <w:rFonts w:ascii="黑体" w:hAnsi="黑体" w:eastAsia="黑体"/>
          <w:lang w:bidi="ar"/>
        </w:rPr>
        <w:br w:type="textWrapping"/>
      </w:r>
      <w:r>
        <w:rPr>
          <w:rFonts w:hint="eastAsia" w:ascii="黑体" w:hAnsi="黑体" w:eastAsia="黑体"/>
          <w:lang w:bidi="ar"/>
        </w:rPr>
        <w:t>固碳</w:t>
      </w:r>
    </w:p>
    <w:p>
      <w:pPr>
        <w:pStyle w:val="56"/>
        <w:ind w:firstLine="420"/>
      </w:pPr>
      <w:r>
        <w:rPr>
          <w:rFonts w:hint="eastAsia"/>
          <w:lang w:bidi="ar"/>
        </w:rPr>
        <w:t>将无机碳转化为有机碳，将其固定在土壤和植物体内的过程，参照标</w:t>
      </w:r>
      <w:r>
        <w:rPr>
          <w:rFonts w:hint="eastAsia"/>
        </w:rPr>
        <w:t>准NY/T 4300。</w:t>
      </w:r>
    </w:p>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固碳生产</w:t>
      </w:r>
    </w:p>
    <w:p>
      <w:pPr>
        <w:pStyle w:val="56"/>
        <w:ind w:firstLine="420"/>
        <w:rPr>
          <w:rFonts w:eastAsia="黑体"/>
        </w:rPr>
      </w:pPr>
      <w:r>
        <w:t>在设施蔬菜生产中，通过优化设施环境，收集工业废气中的CO</w:t>
      </w:r>
      <w:r>
        <w:rPr>
          <w:vertAlign w:val="subscript"/>
        </w:rPr>
        <w:t>2</w:t>
      </w:r>
      <w:r>
        <w:t>并进行贮存，控制CO</w:t>
      </w:r>
      <w:r>
        <w:rPr>
          <w:vertAlign w:val="subscript"/>
        </w:rPr>
        <w:t>2</w:t>
      </w:r>
      <w:r>
        <w:t>施用浓度，调节CO</w:t>
      </w:r>
      <w:r>
        <w:rPr>
          <w:vertAlign w:val="subscript"/>
        </w:rPr>
        <w:t>2</w:t>
      </w:r>
      <w:r>
        <w:t>释放时间，配套相应的栽培管理措施，充分挖掘设施蔬菜固碳效率和增产潜力，从而达到设施蔬菜优质高产高效益的一种生产模式。</w:t>
      </w:r>
    </w:p>
    <w:p>
      <w:pPr>
        <w:pStyle w:val="223"/>
        <w:ind w:left="420" w:hanging="420" w:hangingChars="200"/>
        <w:rPr>
          <w:rFonts w:ascii="黑体" w:hAnsi="黑体" w:eastAsia="黑体"/>
          <w:lang w:bidi="ar"/>
        </w:rPr>
      </w:pPr>
      <w:r>
        <w:rPr>
          <w:rFonts w:ascii="黑体" w:hAnsi="黑体" w:eastAsia="黑体"/>
          <w:lang w:bidi="ar"/>
        </w:rPr>
        <w:br w:type="textWrapping"/>
      </w:r>
      <w:r>
        <w:rPr>
          <w:rFonts w:ascii="黑体" w:hAnsi="黑体" w:eastAsia="黑体"/>
          <w:lang w:bidi="ar"/>
        </w:rPr>
        <w:t>智能释放法</w:t>
      </w:r>
    </w:p>
    <w:p>
      <w:pPr>
        <w:pStyle w:val="56"/>
        <w:ind w:firstLine="420"/>
      </w:pPr>
      <w:r>
        <w:rPr>
          <w:rFonts w:hint="eastAsia"/>
          <w:lang w:bidi="ar"/>
        </w:rPr>
        <w:t>利用</w:t>
      </w:r>
      <w:r>
        <w:rPr>
          <w:lang w:bidi="ar"/>
        </w:rPr>
        <w:t>CO</w:t>
      </w:r>
      <w:r>
        <w:rPr>
          <w:sz w:val="10"/>
          <w:szCs w:val="10"/>
          <w:lang w:bidi="ar"/>
        </w:rPr>
        <w:t>2</w:t>
      </w:r>
      <w:r>
        <w:rPr>
          <w:rFonts w:hint="eastAsia"/>
          <w:lang w:bidi="ar"/>
        </w:rPr>
        <w:t>钢</w:t>
      </w:r>
      <w:r>
        <w:rPr>
          <w:lang w:bidi="ar"/>
        </w:rPr>
        <w:t>瓶、气路、线路以及释放装置，根据CO</w:t>
      </w:r>
      <w:r>
        <w:rPr>
          <w:sz w:val="10"/>
          <w:szCs w:val="10"/>
          <w:lang w:bidi="ar"/>
        </w:rPr>
        <w:t>2</w:t>
      </w:r>
      <w:r>
        <w:rPr>
          <w:lang w:bidi="ar"/>
        </w:rPr>
        <w:t>传感器反馈的模拟信号，通过</w:t>
      </w:r>
      <w:r>
        <w:rPr>
          <w:rFonts w:hint="eastAsia"/>
          <w:lang w:bidi="ar"/>
        </w:rPr>
        <w:t>软件程序</w:t>
      </w:r>
      <w:r>
        <w:rPr>
          <w:lang w:bidi="ar"/>
        </w:rPr>
        <w:t>自动控制设施内CO</w:t>
      </w:r>
      <w:r>
        <w:rPr>
          <w:sz w:val="10"/>
          <w:szCs w:val="10"/>
          <w:lang w:bidi="ar"/>
        </w:rPr>
        <w:t>2</w:t>
      </w:r>
      <w:r>
        <w:rPr>
          <w:lang w:bidi="ar"/>
        </w:rPr>
        <w:t>的施肥时</w:t>
      </w:r>
      <w:r>
        <w:rPr>
          <w:rFonts w:hint="eastAsia" w:hAnsi="宋体" w:cs="宋体"/>
          <w:lang w:bidi="ar"/>
        </w:rPr>
        <w:t>间和施肥浓度。</w:t>
      </w:r>
    </w:p>
    <w:p>
      <w:pPr>
        <w:pStyle w:val="104"/>
        <w:spacing w:before="312" w:after="312"/>
        <w:rPr>
          <w:rFonts w:ascii="Times New Roman"/>
        </w:rPr>
      </w:pPr>
      <w:bookmarkStart w:id="50" w:name="_Toc163420148"/>
      <w:bookmarkStart w:id="51" w:name="_Toc163419282"/>
      <w:r>
        <w:rPr>
          <w:rFonts w:hint="eastAsia"/>
        </w:rPr>
        <w:t>设施结构与环境</w:t>
      </w:r>
      <w:bookmarkEnd w:id="50"/>
      <w:bookmarkEnd w:id="51"/>
    </w:p>
    <w:p>
      <w:pPr>
        <w:pStyle w:val="105"/>
        <w:spacing w:before="156" w:after="156"/>
        <w:rPr>
          <w:rFonts w:ascii="Times New Roman"/>
        </w:rPr>
      </w:pPr>
      <w:r>
        <w:rPr>
          <w:rFonts w:hint="eastAsia"/>
        </w:rPr>
        <w:t>温室结构</w:t>
      </w:r>
    </w:p>
    <w:p>
      <w:pPr>
        <w:pStyle w:val="56"/>
        <w:ind w:firstLine="420"/>
      </w:pPr>
      <w:r>
        <w:rPr>
          <w:rFonts w:hint="eastAsia"/>
        </w:rPr>
        <w:t>日光温室的结构应符合JB/T 10594的要求，温室薄膜密封性和保温蓄热能力良好。</w:t>
      </w:r>
    </w:p>
    <w:p>
      <w:pPr>
        <w:pStyle w:val="105"/>
        <w:spacing w:before="156" w:after="156"/>
      </w:pPr>
      <w:r>
        <w:rPr>
          <w:rFonts w:hint="eastAsia"/>
        </w:rPr>
        <w:t>温室环境</w:t>
      </w:r>
    </w:p>
    <w:p>
      <w:pPr>
        <w:pStyle w:val="56"/>
        <w:ind w:firstLine="420"/>
      </w:pPr>
      <w:r>
        <w:rPr>
          <w:rFonts w:hint="eastAsia"/>
        </w:rPr>
        <w:t>温室环境符合DB14/T 1190的要求，适宜CO</w:t>
      </w:r>
      <w:r>
        <w:rPr>
          <w:rFonts w:hint="eastAsia"/>
          <w:vertAlign w:val="subscript"/>
        </w:rPr>
        <w:t>2</w:t>
      </w:r>
      <w:r>
        <w:rPr>
          <w:rFonts w:hint="eastAsia"/>
        </w:rPr>
        <w:t>施肥的环境最高气温不高于40 ℃，最低气温不低于5 ℃，光照时数不少于8 h，植株顶部水平光照强度不低于5 000 lx，室内光照分布均匀；室内空气相对湿度50%～85%，土壤相对湿度60%～70%。</w:t>
      </w:r>
    </w:p>
    <w:p>
      <w:pPr>
        <w:pStyle w:val="105"/>
        <w:spacing w:before="156" w:after="156"/>
      </w:pPr>
      <w:r>
        <w:rPr>
          <w:rFonts w:hint="eastAsia"/>
        </w:rPr>
        <w:t>塑料大棚</w:t>
      </w:r>
    </w:p>
    <w:p>
      <w:pPr>
        <w:pStyle w:val="56"/>
        <w:ind w:firstLine="420"/>
      </w:pPr>
      <w:r>
        <w:rPr>
          <w:rFonts w:hint="eastAsia"/>
        </w:rPr>
        <w:t>塑料大棚结构应符合</w:t>
      </w:r>
      <w:r>
        <w:t xml:space="preserve">GB/T </w:t>
      </w:r>
      <w:r>
        <w:rPr>
          <w:rFonts w:hint="eastAsia"/>
        </w:rPr>
        <w:t>51057和J</w:t>
      </w:r>
      <w:r>
        <w:t>B/T 1</w:t>
      </w:r>
      <w:r>
        <w:rPr>
          <w:rFonts w:hint="eastAsia"/>
        </w:rPr>
        <w:t>0594标准</w:t>
      </w:r>
      <w:r>
        <w:t>，塑料薄膜</w:t>
      </w:r>
      <w:r>
        <w:rPr>
          <w:rFonts w:hint="eastAsia"/>
        </w:rPr>
        <w:t>密封性和保温性能良好</w:t>
      </w:r>
      <w:r>
        <w:t>。</w:t>
      </w:r>
    </w:p>
    <w:p>
      <w:pPr>
        <w:pStyle w:val="104"/>
        <w:spacing w:before="312" w:after="312"/>
      </w:pPr>
      <w:bookmarkStart w:id="52" w:name="_Toc163419283"/>
      <w:bookmarkStart w:id="53" w:name="_Toc163420149"/>
      <w:r>
        <w:rPr>
          <w:szCs w:val="21"/>
        </w:rPr>
        <w:t>施</w:t>
      </w:r>
      <w:r>
        <w:t>肥浓度</w:t>
      </w:r>
      <w:bookmarkEnd w:id="52"/>
      <w:bookmarkEnd w:id="53"/>
    </w:p>
    <w:p>
      <w:pPr>
        <w:pStyle w:val="105"/>
        <w:spacing w:before="156" w:after="156"/>
      </w:pPr>
      <w:r>
        <w:rPr>
          <w:rFonts w:hint="eastAsia"/>
        </w:rPr>
        <w:t>叶菜类</w:t>
      </w:r>
    </w:p>
    <w:p>
      <w:pPr>
        <w:pStyle w:val="56"/>
        <w:ind w:firstLine="420"/>
      </w:pPr>
      <w:r>
        <w:rPr>
          <w:rFonts w:hint="eastAsia"/>
        </w:rPr>
        <w:t>施肥浓度一般</w:t>
      </w:r>
      <w:r>
        <w:t>为</w:t>
      </w:r>
      <w:r>
        <w:rPr>
          <w:rFonts w:hint="eastAsia"/>
        </w:rPr>
        <w:t>苗期 5</w:t>
      </w:r>
      <w:r>
        <w:t>00 mg/L～</w:t>
      </w:r>
      <w:r>
        <w:rPr>
          <w:rFonts w:hint="eastAsia"/>
        </w:rPr>
        <w:t>6</w:t>
      </w:r>
      <w:r>
        <w:t>00 mg/L</w:t>
      </w:r>
      <w:r>
        <w:rPr>
          <w:rFonts w:hint="eastAsia"/>
        </w:rPr>
        <w:t>，生长期 6</w:t>
      </w:r>
      <w:r>
        <w:t xml:space="preserve">00 mg/L～1 </w:t>
      </w:r>
      <w:r>
        <w:rPr>
          <w:rFonts w:hint="eastAsia"/>
        </w:rPr>
        <w:t>2</w:t>
      </w:r>
      <w:r>
        <w:t>00 mg/L</w:t>
      </w:r>
      <w:r>
        <w:rPr>
          <w:rFonts w:hint="eastAsia"/>
        </w:rPr>
        <w:t>。</w:t>
      </w:r>
    </w:p>
    <w:p>
      <w:pPr>
        <w:pStyle w:val="105"/>
        <w:spacing w:before="156" w:after="156"/>
      </w:pPr>
      <w:r>
        <w:rPr>
          <w:rFonts w:hint="eastAsia"/>
        </w:rPr>
        <w:t>5.2 果菜类</w:t>
      </w:r>
    </w:p>
    <w:p>
      <w:pPr>
        <w:pStyle w:val="56"/>
        <w:ind w:firstLine="420"/>
      </w:pPr>
      <w:r>
        <w:rPr>
          <w:rFonts w:hint="eastAsia"/>
        </w:rPr>
        <w:t>施肥浓度一般</w:t>
      </w:r>
      <w:r>
        <w:t>为</w:t>
      </w:r>
      <w:r>
        <w:rPr>
          <w:rFonts w:hint="eastAsia"/>
        </w:rPr>
        <w:t>苗期 5</w:t>
      </w:r>
      <w:r>
        <w:t>00 mg/L～</w:t>
      </w:r>
      <w:r>
        <w:rPr>
          <w:rFonts w:hint="eastAsia"/>
        </w:rPr>
        <w:t>8</w:t>
      </w:r>
      <w:r>
        <w:t>00 mg/L</w:t>
      </w:r>
      <w:r>
        <w:rPr>
          <w:rFonts w:hint="eastAsia"/>
        </w:rPr>
        <w:t>，生长期 6</w:t>
      </w:r>
      <w:r>
        <w:t>00 mg/L～1 500 mg/L</w:t>
      </w:r>
      <w:r>
        <w:rPr>
          <w:rFonts w:hint="eastAsia"/>
        </w:rPr>
        <w:t>。</w:t>
      </w:r>
    </w:p>
    <w:p>
      <w:pPr>
        <w:pStyle w:val="105"/>
        <w:spacing w:before="156" w:after="156"/>
      </w:pPr>
      <w:r>
        <w:rPr>
          <w:rFonts w:hint="eastAsia"/>
        </w:rPr>
        <w:t>动态调整</w:t>
      </w:r>
    </w:p>
    <w:p>
      <w:pPr>
        <w:pStyle w:val="56"/>
        <w:ind w:firstLine="420"/>
      </w:pPr>
      <w:r>
        <w:t>CO</w:t>
      </w:r>
      <w:r>
        <w:rPr>
          <w:vertAlign w:val="subscript"/>
        </w:rPr>
        <w:t>2</w:t>
      </w:r>
      <w:r>
        <w:t>施肥浓度应从蔬菜作物种类、栽培季节、生长期、生长情况、天气状况、肥水管理水平等诸</w:t>
      </w:r>
      <w:r>
        <w:rPr>
          <w:rFonts w:hint="eastAsia"/>
          <w:lang w:val="en-US" w:eastAsia="zh-CN"/>
        </w:rPr>
        <w:t>多</w:t>
      </w:r>
      <w:r>
        <w:t>方面考虑，随光照、温度的增加逐步提高CO</w:t>
      </w:r>
      <w:r>
        <w:rPr>
          <w:vertAlign w:val="subscript"/>
        </w:rPr>
        <w:t>2</w:t>
      </w:r>
      <w:r>
        <w:t>用量。生长盛期浓度高些，生长前期和后期浓度低些；强光高温季节浓度高些，低温弱光季节浓度低些；晴天浓度高些，阴天浓度低些；低温寡照及雨雪天气一般不施用。</w:t>
      </w:r>
    </w:p>
    <w:p>
      <w:pPr>
        <w:pStyle w:val="104"/>
        <w:spacing w:before="312" w:after="312"/>
      </w:pPr>
      <w:bookmarkStart w:id="54" w:name="_Toc163419284"/>
      <w:bookmarkStart w:id="55" w:name="_Toc163420150"/>
      <w:r>
        <w:t>施</w:t>
      </w:r>
      <w:r>
        <w:rPr>
          <w:rFonts w:hint="eastAsia"/>
        </w:rPr>
        <w:t>肥时间</w:t>
      </w:r>
      <w:bookmarkEnd w:id="54"/>
      <w:bookmarkEnd w:id="55"/>
    </w:p>
    <w:p>
      <w:pPr>
        <w:pStyle w:val="105"/>
        <w:spacing w:before="156" w:after="156"/>
      </w:pPr>
      <w:r>
        <w:rPr>
          <w:rFonts w:hint="eastAsia"/>
        </w:rPr>
        <w:t>幼苗期</w:t>
      </w:r>
    </w:p>
    <w:p>
      <w:pPr>
        <w:pStyle w:val="56"/>
        <w:ind w:firstLine="420"/>
      </w:pPr>
      <w:r>
        <w:rPr>
          <w:rFonts w:hint="eastAsia"/>
        </w:rPr>
        <w:t>在真叶展开后，20</w:t>
      </w:r>
      <w:r>
        <w:rPr>
          <w:rFonts w:hint="eastAsia"/>
          <w:lang w:val="en-US" w:eastAsia="zh-CN"/>
        </w:rPr>
        <w:t xml:space="preserve"> d</w:t>
      </w:r>
      <w:r>
        <w:rPr>
          <w:rFonts w:hint="eastAsia"/>
        </w:rPr>
        <w:t>～30 d内施用CO</w:t>
      </w:r>
      <w:r>
        <w:rPr>
          <w:rFonts w:hint="eastAsia"/>
          <w:vertAlign w:val="subscript"/>
        </w:rPr>
        <w:t>2</w:t>
      </w:r>
      <w:r>
        <w:rPr>
          <w:rFonts w:hint="eastAsia"/>
        </w:rPr>
        <w:t>。</w:t>
      </w:r>
    </w:p>
    <w:p>
      <w:pPr>
        <w:pStyle w:val="105"/>
        <w:spacing w:before="156" w:after="156"/>
      </w:pPr>
      <w:r>
        <w:rPr>
          <w:rFonts w:hint="eastAsia"/>
        </w:rPr>
        <w:t>生长期</w:t>
      </w:r>
    </w:p>
    <w:p>
      <w:pPr>
        <w:pStyle w:val="56"/>
        <w:ind w:firstLine="420"/>
      </w:pPr>
      <w:r>
        <w:rPr>
          <w:rFonts w:hint="eastAsia"/>
        </w:rPr>
        <w:t>果菜类从现蕾开花时开始施用，叶菜类在定植缓苗后开始施用。</w:t>
      </w:r>
    </w:p>
    <w:p>
      <w:pPr>
        <w:pStyle w:val="105"/>
        <w:spacing w:before="156" w:after="156"/>
      </w:pPr>
      <w:r>
        <w:rPr>
          <w:rFonts w:hint="eastAsia"/>
        </w:rPr>
        <w:t>施用时间</w:t>
      </w:r>
    </w:p>
    <w:p>
      <w:pPr>
        <w:pStyle w:val="56"/>
        <w:ind w:firstLine="420"/>
      </w:pPr>
      <w:r>
        <w:rPr>
          <w:rFonts w:hint="eastAsia"/>
        </w:rPr>
        <w:t>当设施内CO</w:t>
      </w:r>
      <w:r>
        <w:rPr>
          <w:rFonts w:hint="eastAsia"/>
          <w:vertAlign w:val="subscript"/>
        </w:rPr>
        <w:t>2</w:t>
      </w:r>
      <w:r>
        <w:rPr>
          <w:rFonts w:hint="eastAsia"/>
        </w:rPr>
        <w:t>浓度低于大气浓度时，生长初期施用1.5 h，生长盛期施用2 h；当室内温度达到28 ℃且室内CO</w:t>
      </w:r>
      <w:r>
        <w:rPr>
          <w:rFonts w:hint="eastAsia"/>
          <w:vertAlign w:val="subscript"/>
        </w:rPr>
        <w:t>2</w:t>
      </w:r>
      <w:r>
        <w:rPr>
          <w:rFonts w:hint="eastAsia"/>
        </w:rPr>
        <w:t>浓度低于大气浓度时，根据需要适当打开通风口，通风换气前0.5 h</w:t>
      </w:r>
      <w:r>
        <w:t>～</w:t>
      </w:r>
      <w:r>
        <w:rPr>
          <w:rFonts w:hint="eastAsia"/>
        </w:rPr>
        <w:t>1 h停止施用；晴天提早施用，阴天推迟施用，雨雪天不施用。</w:t>
      </w:r>
    </w:p>
    <w:p>
      <w:pPr>
        <w:pStyle w:val="104"/>
        <w:spacing w:before="312" w:after="312"/>
      </w:pPr>
      <w:bookmarkStart w:id="56" w:name="_Toc163420151"/>
      <w:bookmarkStart w:id="57" w:name="_Toc163419285"/>
      <w:r>
        <w:t>施肥方</w:t>
      </w:r>
      <w:r>
        <w:rPr>
          <w:rFonts w:hint="eastAsia"/>
        </w:rPr>
        <w:t>法</w:t>
      </w:r>
      <w:bookmarkEnd w:id="56"/>
      <w:bookmarkEnd w:id="57"/>
    </w:p>
    <w:p>
      <w:pPr>
        <w:pStyle w:val="105"/>
        <w:spacing w:before="156" w:after="156"/>
      </w:pPr>
      <w:r>
        <w:rPr>
          <w:rFonts w:hint="eastAsia"/>
        </w:rPr>
        <w:t>二氧化碳气源</w:t>
      </w:r>
    </w:p>
    <w:p>
      <w:pPr>
        <w:pStyle w:val="56"/>
        <w:ind w:firstLine="420"/>
        <w:rPr>
          <w:lang w:bidi="ar"/>
        </w:rPr>
      </w:pPr>
      <w:r>
        <w:rPr>
          <w:rFonts w:hint="eastAsia"/>
          <w:lang w:bidi="ar"/>
        </w:rPr>
        <w:t>主要</w:t>
      </w:r>
      <w:r>
        <w:rPr>
          <w:lang w:bidi="ar"/>
        </w:rPr>
        <w:t>利用</w:t>
      </w:r>
      <w:r>
        <w:rPr>
          <w:rFonts w:hint="eastAsia"/>
          <w:lang w:bidi="ar"/>
        </w:rPr>
        <w:t>工业源捕集的</w:t>
      </w:r>
      <w:r>
        <w:rPr>
          <w:lang w:bidi="ar"/>
        </w:rPr>
        <w:t>CO</w:t>
      </w:r>
      <w:r>
        <w:rPr>
          <w:sz w:val="10"/>
          <w:szCs w:val="10"/>
          <w:lang w:bidi="ar"/>
        </w:rPr>
        <w:t>2</w:t>
      </w:r>
      <w:r>
        <w:rPr>
          <w:rFonts w:hint="eastAsia"/>
          <w:lang w:bidi="ar"/>
        </w:rPr>
        <w:t>，其质量应符合</w:t>
      </w:r>
      <w:r>
        <w:t>GB/T 6052</w:t>
      </w:r>
      <w:r>
        <w:rPr>
          <w:rFonts w:hint="eastAsia"/>
        </w:rPr>
        <w:t>、</w:t>
      </w:r>
      <w:r>
        <w:t>GB/T 42797</w:t>
      </w:r>
      <w:r>
        <w:rPr>
          <w:rFonts w:hint="eastAsia"/>
          <w:lang w:eastAsia="zh-CN"/>
        </w:rPr>
        <w:t>标准要求</w:t>
      </w:r>
      <w:r>
        <w:rPr>
          <w:rFonts w:hint="eastAsia"/>
          <w:lang w:bidi="ar"/>
        </w:rPr>
        <w:t>。</w:t>
      </w:r>
    </w:p>
    <w:p>
      <w:pPr>
        <w:pStyle w:val="105"/>
        <w:spacing w:before="156" w:after="156"/>
      </w:pPr>
      <w:r>
        <w:rPr>
          <w:rFonts w:hint="eastAsia"/>
        </w:rPr>
        <w:t>二氧化碳供气系统</w:t>
      </w:r>
    </w:p>
    <w:p>
      <w:pPr>
        <w:pStyle w:val="56"/>
        <w:ind w:firstLine="420"/>
      </w:pPr>
      <w:r>
        <w:rPr>
          <w:rFonts w:hint="eastAsia"/>
        </w:rPr>
        <w:t>供气系统包括二氧化碳储运设备、气化器、安全阀、减压阀、输气管道及相应压力表、流量计等。CO</w:t>
      </w:r>
      <w:r>
        <w:rPr>
          <w:rFonts w:hint="eastAsia"/>
          <w:vertAlign w:val="subscript"/>
        </w:rPr>
        <w:t>2</w:t>
      </w:r>
      <w:r>
        <w:rPr>
          <w:rFonts w:hint="eastAsia"/>
        </w:rPr>
        <w:t>钢瓶放置在设施的作业间内，建立高度不低于1.5 m的围护栏，周围设置安全标志，安全标志的要求应符合GB 2894的有关规定。</w:t>
      </w:r>
    </w:p>
    <w:p>
      <w:pPr>
        <w:pStyle w:val="105"/>
        <w:spacing w:before="156" w:after="156"/>
      </w:pPr>
      <w:r>
        <w:rPr>
          <w:rFonts w:hint="eastAsia"/>
        </w:rPr>
        <w:t>智能释放法</w:t>
      </w:r>
    </w:p>
    <w:p>
      <w:pPr>
        <w:pStyle w:val="65"/>
        <w:spacing w:before="156" w:after="156"/>
        <w:rPr>
          <w:lang w:bidi="ar"/>
        </w:rPr>
      </w:pPr>
      <w:r>
        <w:rPr>
          <w:lang w:bidi="ar"/>
        </w:rPr>
        <w:t>释放装置安装</w:t>
      </w:r>
    </w:p>
    <w:p>
      <w:pPr>
        <w:pStyle w:val="56"/>
        <w:ind w:firstLine="420"/>
        <w:rPr>
          <w:rFonts w:ascii="黑体" w:hAnsi="宋体" w:eastAsia="黑体" w:cs="黑体"/>
          <w:color w:val="000000"/>
          <w:sz w:val="20"/>
          <w:lang w:bidi="ar"/>
        </w:rPr>
      </w:pPr>
      <w:r>
        <w:rPr>
          <w:rFonts w:hint="eastAsia"/>
        </w:rPr>
        <w:t>温室大棚内气路、线路和释放装置距离地面3.0 m～4.0 m处布置，释放装置沿着棚室长度方向和跨度方向均匀布置，可采用</w:t>
      </w:r>
      <w:r>
        <w:t>36</w:t>
      </w:r>
      <w:r>
        <w:rPr>
          <w:rFonts w:hint="eastAsia" w:ascii="宋体" w:hAnsi="宋体" w:eastAsia="宋体" w:cs="宋体"/>
        </w:rPr>
        <w:t>0°</w:t>
      </w:r>
      <w:r>
        <w:t>旋转装置</w:t>
      </w:r>
      <w:r>
        <w:rPr>
          <w:rFonts w:hint="eastAsia"/>
        </w:rPr>
        <w:t>。利用CO</w:t>
      </w:r>
      <w:r>
        <w:rPr>
          <w:rFonts w:hint="eastAsia"/>
          <w:vertAlign w:val="subscript"/>
        </w:rPr>
        <w:t>2</w:t>
      </w:r>
      <w:r>
        <w:rPr>
          <w:rFonts w:hint="eastAsia"/>
        </w:rPr>
        <w:t>钢瓶，通过气路和线路连接顶置CO</w:t>
      </w:r>
      <w:r>
        <w:rPr>
          <w:rFonts w:hint="eastAsia"/>
          <w:vertAlign w:val="subscript"/>
        </w:rPr>
        <w:t>2</w:t>
      </w:r>
      <w:r>
        <w:rPr>
          <w:rFonts w:hint="eastAsia"/>
        </w:rPr>
        <w:t>释放装置，释放装置管道上的出气孔以45°角度向空间喷出CO</w:t>
      </w:r>
      <w:r>
        <w:rPr>
          <w:rFonts w:hint="eastAsia"/>
          <w:vertAlign w:val="subscript"/>
        </w:rPr>
        <w:t>2</w:t>
      </w:r>
      <w:r>
        <w:rPr>
          <w:rFonts w:hint="eastAsia"/>
        </w:rPr>
        <w:t>气体，喷洒辐射范围覆盖作物生长区。</w:t>
      </w:r>
    </w:p>
    <w:p>
      <w:pPr>
        <w:pStyle w:val="65"/>
        <w:spacing w:before="156" w:after="156"/>
      </w:pPr>
      <w:r>
        <w:rPr>
          <w:rFonts w:hint="eastAsia"/>
        </w:rPr>
        <w:t>环流风机安装</w:t>
      </w:r>
    </w:p>
    <w:p>
      <w:pPr>
        <w:pStyle w:val="56"/>
        <w:ind w:firstLine="420"/>
      </w:pPr>
      <w:r>
        <w:t>环流风机装置安装在距离地面</w:t>
      </w:r>
      <w:r>
        <w:rPr>
          <w:rFonts w:hint="eastAsia"/>
        </w:rPr>
        <w:t>3</w:t>
      </w:r>
      <w:r>
        <w:t>.</w:t>
      </w:r>
      <w:r>
        <w:rPr>
          <w:rFonts w:hint="eastAsia"/>
        </w:rPr>
        <w:t>0</w:t>
      </w:r>
      <w:r>
        <w:t xml:space="preserve"> m ～</w:t>
      </w:r>
      <w:r>
        <w:rPr>
          <w:rFonts w:hint="eastAsia"/>
        </w:rPr>
        <w:t>4</w:t>
      </w:r>
      <w:r>
        <w:t>.</w:t>
      </w:r>
      <w:r>
        <w:rPr>
          <w:rFonts w:hint="eastAsia"/>
        </w:rPr>
        <w:t>0</w:t>
      </w:r>
      <w:r>
        <w:t xml:space="preserve"> m之间，当</w:t>
      </w:r>
      <w:r>
        <w:rPr>
          <w:rFonts w:hint="eastAsia"/>
        </w:rPr>
        <w:t>设施</w:t>
      </w:r>
      <w:r>
        <w:t>内补充CO</w:t>
      </w:r>
      <w:r>
        <w:rPr>
          <w:vertAlign w:val="subscript"/>
        </w:rPr>
        <w:t>2</w:t>
      </w:r>
      <w:r>
        <w:t>气体时，环流风机开始工作，补气结束后环流风机停止工作。环流风机直接通过管道将</w:t>
      </w:r>
      <w:r>
        <w:rPr>
          <w:rFonts w:hint="eastAsia"/>
        </w:rPr>
        <w:t>设施</w:t>
      </w:r>
      <w:r>
        <w:t>内底部的CO</w:t>
      </w:r>
      <w:r>
        <w:rPr>
          <w:vertAlign w:val="subscript"/>
        </w:rPr>
        <w:t>2</w:t>
      </w:r>
      <w:r>
        <w:t>气体吸入风机，经过风机增压后通过出气管道送入到</w:t>
      </w:r>
      <w:r>
        <w:rPr>
          <w:rFonts w:hint="eastAsia"/>
        </w:rPr>
        <w:t>释放装置</w:t>
      </w:r>
      <w:r>
        <w:t>中，CO</w:t>
      </w:r>
      <w:r>
        <w:rPr>
          <w:vertAlign w:val="subscript"/>
        </w:rPr>
        <w:t>2</w:t>
      </w:r>
      <w:r>
        <w:t>供气管直接接入到环流风机的出风管道和气体释放管道的中间位置上，确保高浓度CO</w:t>
      </w:r>
      <w:r>
        <w:rPr>
          <w:vertAlign w:val="subscript"/>
        </w:rPr>
        <w:t>2</w:t>
      </w:r>
      <w:r>
        <w:t>气体在管道中混合均匀。</w:t>
      </w:r>
    </w:p>
    <w:p>
      <w:pPr>
        <w:pStyle w:val="65"/>
        <w:spacing w:before="156" w:after="156"/>
      </w:pPr>
      <w:r>
        <w:t>传感器安装</w:t>
      </w:r>
    </w:p>
    <w:p>
      <w:pPr>
        <w:pStyle w:val="56"/>
        <w:ind w:firstLine="420"/>
      </w:pPr>
      <w:r>
        <w:rPr>
          <w:rFonts w:hint="eastAsia"/>
        </w:rPr>
        <w:t>温室大棚</w:t>
      </w:r>
      <w:r>
        <w:t>内CO</w:t>
      </w:r>
      <w:r>
        <w:rPr>
          <w:vertAlign w:val="subscript"/>
        </w:rPr>
        <w:t>2</w:t>
      </w:r>
      <w:r>
        <w:t>传感器每15 m安装一个，放置于植株生长冠层20 cm左右的范围内，其放置高度根据植株生长高度可调。</w:t>
      </w:r>
    </w:p>
    <w:p>
      <w:pPr>
        <w:pStyle w:val="65"/>
        <w:spacing w:before="156" w:after="156"/>
      </w:pPr>
      <w:r>
        <w:t>智能控制</w:t>
      </w:r>
    </w:p>
    <w:p>
      <w:pPr>
        <w:pStyle w:val="56"/>
        <w:ind w:firstLine="420"/>
      </w:pPr>
      <w:r>
        <w:t>利用电脑</w:t>
      </w:r>
      <w:r>
        <w:rPr>
          <w:rFonts w:hint="eastAsia"/>
        </w:rPr>
        <w:t>软件、手机app、微信小程序等</w:t>
      </w:r>
      <w:r>
        <w:t>，根据CO</w:t>
      </w:r>
      <w:r>
        <w:rPr>
          <w:vertAlign w:val="subscript"/>
        </w:rPr>
        <w:t>2</w:t>
      </w:r>
      <w:r>
        <w:t>传感器反馈的模拟信号，通过</w:t>
      </w:r>
      <w:r>
        <w:rPr>
          <w:rFonts w:hint="eastAsia"/>
        </w:rPr>
        <w:t>程序</w:t>
      </w:r>
      <w:r>
        <w:t>自动控制CO</w:t>
      </w:r>
      <w:r>
        <w:rPr>
          <w:vertAlign w:val="subscript"/>
        </w:rPr>
        <w:t>2</w:t>
      </w:r>
      <w:r>
        <w:t>电磁阀的通断来控制</w:t>
      </w:r>
      <w:r>
        <w:rPr>
          <w:rFonts w:hint="eastAsia"/>
        </w:rPr>
        <w:t>温室大棚</w:t>
      </w:r>
      <w:r>
        <w:t>内CO</w:t>
      </w:r>
      <w:r>
        <w:rPr>
          <w:vertAlign w:val="subscript"/>
        </w:rPr>
        <w:t>2</w:t>
      </w:r>
      <w:r>
        <w:t>施肥的时间和浓度。软件系统允许用户设置不同时间段内</w:t>
      </w:r>
      <w:r>
        <w:rPr>
          <w:rFonts w:hint="eastAsia"/>
        </w:rPr>
        <w:t>设施</w:t>
      </w:r>
      <w:r>
        <w:t>环境中维持不同的CO</w:t>
      </w:r>
      <w:r>
        <w:rPr>
          <w:vertAlign w:val="subscript"/>
        </w:rPr>
        <w:t>2</w:t>
      </w:r>
      <w:r>
        <w:t>浓度，可将每天的24个小时分成</w:t>
      </w:r>
      <w:r>
        <w:rPr>
          <w:rFonts w:hint="eastAsia"/>
        </w:rPr>
        <w:t>多</w:t>
      </w:r>
      <w:r>
        <w:t>个时间段，任意设定时间和浓度</w:t>
      </w:r>
      <w:r>
        <w:rPr>
          <w:rFonts w:hint="eastAsia"/>
        </w:rPr>
        <w:t>。</w:t>
      </w:r>
    </w:p>
    <w:p>
      <w:pPr>
        <w:pStyle w:val="104"/>
        <w:spacing w:before="312" w:after="312"/>
      </w:pPr>
      <w:bookmarkStart w:id="58" w:name="_Toc163420152"/>
      <w:bookmarkStart w:id="59" w:name="_Toc163419286"/>
      <w:bookmarkStart w:id="60" w:name="_Toc370809542"/>
      <w:bookmarkStart w:id="61" w:name="_Toc370809715"/>
      <w:r>
        <w:rPr>
          <w:rFonts w:hint="eastAsia"/>
        </w:rPr>
        <w:t>配套管理</w:t>
      </w:r>
      <w:bookmarkEnd w:id="58"/>
      <w:bookmarkEnd w:id="59"/>
    </w:p>
    <w:bookmarkEnd w:id="60"/>
    <w:bookmarkEnd w:id="61"/>
    <w:p>
      <w:pPr>
        <w:pStyle w:val="105"/>
        <w:spacing w:before="156" w:after="156"/>
      </w:pPr>
      <w:r>
        <w:rPr>
          <w:rFonts w:hint="eastAsia"/>
        </w:rPr>
        <w:t>温度管理</w:t>
      </w:r>
    </w:p>
    <w:p>
      <w:pPr>
        <w:pStyle w:val="56"/>
        <w:ind w:firstLine="420"/>
        <w:rPr>
          <w:rFonts w:hint="eastAsia" w:ascii="宋体" w:hAnsi="宋体" w:eastAsia="宋体" w:cs="宋体"/>
        </w:rPr>
      </w:pPr>
      <w:r>
        <w:t>CO</w:t>
      </w:r>
      <w:r>
        <w:rPr>
          <w:vertAlign w:val="subscript"/>
        </w:rPr>
        <w:t>2</w:t>
      </w:r>
      <w:r>
        <w:t>施肥时，应实行大温差管理，白天室温提</w:t>
      </w:r>
      <w:r>
        <w:rPr>
          <w:rFonts w:hint="eastAsia" w:ascii="宋体" w:hAnsi="宋体" w:eastAsia="宋体" w:cs="宋体"/>
        </w:rPr>
        <w:t>高2 ℃～3 ℃，夜间降温1 ℃～2 ℃。</w:t>
      </w:r>
    </w:p>
    <w:p>
      <w:pPr>
        <w:pStyle w:val="105"/>
        <w:spacing w:before="156" w:after="156"/>
      </w:pPr>
      <w:r>
        <w:rPr>
          <w:rFonts w:hint="eastAsia"/>
        </w:rPr>
        <w:t>光照管理</w:t>
      </w:r>
    </w:p>
    <w:p>
      <w:pPr>
        <w:pStyle w:val="56"/>
        <w:ind w:firstLine="420"/>
      </w:pPr>
      <w:r>
        <w:rPr>
          <w:rFonts w:hint="eastAsia"/>
        </w:rPr>
        <w:t>冬春低温季节进行CO</w:t>
      </w:r>
      <w:r>
        <w:rPr>
          <w:rFonts w:hint="eastAsia"/>
          <w:vertAlign w:val="subscript"/>
        </w:rPr>
        <w:t>2</w:t>
      </w:r>
      <w:r>
        <w:rPr>
          <w:rFonts w:hint="eastAsia"/>
        </w:rPr>
        <w:t>施肥时，尽量提高光照强度，延长光照时间。</w:t>
      </w:r>
    </w:p>
    <w:p>
      <w:pPr>
        <w:pStyle w:val="105"/>
        <w:spacing w:before="156" w:after="156"/>
      </w:pPr>
      <w:r>
        <w:t>通风</w:t>
      </w:r>
      <w:r>
        <w:rPr>
          <w:rFonts w:hint="eastAsia"/>
        </w:rPr>
        <w:t>管理</w:t>
      </w:r>
    </w:p>
    <w:p>
      <w:pPr>
        <w:pStyle w:val="56"/>
        <w:ind w:firstLine="420"/>
      </w:pPr>
      <w:r>
        <w:rPr>
          <w:rFonts w:hint="eastAsia"/>
        </w:rPr>
        <w:t>施肥</w:t>
      </w:r>
      <w:r>
        <w:t>后保持一定闭棚时间。</w:t>
      </w:r>
    </w:p>
    <w:p>
      <w:pPr>
        <w:pStyle w:val="105"/>
        <w:spacing w:before="156" w:after="156"/>
      </w:pPr>
      <w:r>
        <w:t xml:space="preserve">肥水管理 </w:t>
      </w:r>
    </w:p>
    <w:p>
      <w:pPr>
        <w:pStyle w:val="56"/>
        <w:ind w:firstLine="420"/>
      </w:pPr>
      <w:r>
        <w:t>CO</w:t>
      </w:r>
      <w:r>
        <w:rPr>
          <w:vertAlign w:val="subscript"/>
        </w:rPr>
        <w:t>2</w:t>
      </w:r>
      <w:r>
        <w:t>施肥时，要加强肥水管理，提高土壤湿度及空气湿度，并增施</w:t>
      </w:r>
      <w:r>
        <w:rPr>
          <w:rFonts w:hint="eastAsia"/>
        </w:rPr>
        <w:t>磷钾</w:t>
      </w:r>
      <w:r>
        <w:t>肥等。</w:t>
      </w:r>
    </w:p>
    <w:p>
      <w:pPr>
        <w:pStyle w:val="104"/>
        <w:spacing w:before="312" w:after="312"/>
      </w:pPr>
      <w:bookmarkStart w:id="62" w:name="_Toc163420153"/>
      <w:bookmarkStart w:id="63" w:name="_Toc163419287"/>
      <w:r>
        <w:rPr>
          <w:rFonts w:hint="eastAsia"/>
        </w:rPr>
        <w:t>注意事项</w:t>
      </w:r>
      <w:bookmarkEnd w:id="62"/>
      <w:bookmarkEnd w:id="63"/>
    </w:p>
    <w:p>
      <w:pPr>
        <w:pStyle w:val="105"/>
        <w:spacing w:before="156" w:after="156"/>
      </w:pPr>
      <w:r>
        <w:rPr>
          <w:rFonts w:hint="eastAsia"/>
        </w:rPr>
        <w:t>保持施肥连续性</w:t>
      </w:r>
    </w:p>
    <w:p>
      <w:pPr>
        <w:pStyle w:val="56"/>
        <w:ind w:firstLine="420"/>
      </w:pPr>
      <w:r>
        <w:rPr>
          <w:rFonts w:hint="eastAsia"/>
        </w:rPr>
        <w:t>CO</w:t>
      </w:r>
      <w:r>
        <w:rPr>
          <w:rFonts w:hint="eastAsia"/>
          <w:vertAlign w:val="subscript"/>
        </w:rPr>
        <w:t>2</w:t>
      </w:r>
      <w:r>
        <w:rPr>
          <w:rFonts w:hint="eastAsia"/>
        </w:rPr>
        <w:t>气体施肥要保持连续性，前后两次施肥间隔时间不超过一周。施肥结束时，要逐渐降低CO</w:t>
      </w:r>
      <w:r>
        <w:rPr>
          <w:rFonts w:hint="eastAsia"/>
          <w:vertAlign w:val="subscript"/>
        </w:rPr>
        <w:t>2</w:t>
      </w:r>
      <w:r>
        <w:rPr>
          <w:rFonts w:hint="eastAsia"/>
        </w:rPr>
        <w:t>浓度，逐渐停止施用，避免突然停止施用。</w:t>
      </w:r>
    </w:p>
    <w:p>
      <w:pPr>
        <w:pStyle w:val="105"/>
        <w:spacing w:before="156" w:after="156"/>
      </w:pPr>
      <w:r>
        <w:rPr>
          <w:rFonts w:hint="eastAsia"/>
        </w:rPr>
        <w:t>防止高浓度危害</w:t>
      </w:r>
    </w:p>
    <w:p>
      <w:pPr>
        <w:pStyle w:val="56"/>
        <w:ind w:firstLine="420"/>
        <w:rPr>
          <w:rFonts w:eastAsia="黑体"/>
        </w:rPr>
      </w:pPr>
      <w:r>
        <w:rPr>
          <w:rFonts w:hint="eastAsia"/>
        </w:rPr>
        <w:t>防止CO</w:t>
      </w:r>
      <w:r>
        <w:rPr>
          <w:rFonts w:hint="eastAsia"/>
          <w:vertAlign w:val="subscript"/>
        </w:rPr>
        <w:t>2</w:t>
      </w:r>
      <w:r>
        <w:rPr>
          <w:rFonts w:hint="eastAsia"/>
        </w:rPr>
        <w:t>施用浓度过高造成作物徒长、植株老化、叶片反卷、叶绿素下降等，并防止高浓度CO</w:t>
      </w:r>
      <w:r>
        <w:rPr>
          <w:rFonts w:hint="eastAsia"/>
          <w:vertAlign w:val="subscript"/>
        </w:rPr>
        <w:t>2</w:t>
      </w:r>
      <w:r>
        <w:rPr>
          <w:rFonts w:hint="eastAsia"/>
        </w:rPr>
        <w:t xml:space="preserve">气体中毒，生产中控制在1 500 </w:t>
      </w:r>
      <w:r>
        <w:t>mg/L</w:t>
      </w:r>
      <w:r>
        <w:rPr>
          <w:rFonts w:hint="eastAsia"/>
        </w:rPr>
        <w:t>以下较为安全。</w:t>
      </w:r>
    </w:p>
    <w:p>
      <w:pPr>
        <w:pStyle w:val="104"/>
        <w:spacing w:before="312" w:after="312"/>
      </w:pPr>
      <w:bookmarkStart w:id="64" w:name="_Toc163419288"/>
      <w:bookmarkStart w:id="65" w:name="_Toc163420154"/>
      <w:r>
        <w:rPr>
          <w:rFonts w:hint="eastAsia"/>
        </w:rPr>
        <w:t>生产档案</w:t>
      </w:r>
      <w:bookmarkEnd w:id="64"/>
      <w:bookmarkEnd w:id="65"/>
    </w:p>
    <w:p>
      <w:pPr>
        <w:pStyle w:val="56"/>
        <w:ind w:firstLine="420"/>
      </w:pPr>
      <w:r>
        <w:rPr>
          <w:rFonts w:hint="eastAsia"/>
        </w:rPr>
        <w:t>建立生产档案。对设施蔬菜</w:t>
      </w:r>
      <w:r>
        <w:rPr>
          <w:rFonts w:hint="eastAsia" w:ascii="宋体" w:hAnsi="宋体" w:eastAsia="宋体" w:cs="宋体"/>
        </w:rPr>
        <w:t>CO</w:t>
      </w:r>
      <w:r>
        <w:rPr>
          <w:rFonts w:hint="eastAsia" w:ascii="宋体" w:hAnsi="宋体" w:eastAsia="宋体" w:cs="宋体"/>
          <w:vertAlign w:val="subscript"/>
        </w:rPr>
        <w:t>2</w:t>
      </w:r>
      <w:r>
        <w:rPr>
          <w:rFonts w:ascii="Times New Roman"/>
        </w:rPr>
        <w:t>施肥</w:t>
      </w:r>
      <w:r>
        <w:rPr>
          <w:rFonts w:hint="eastAsia" w:ascii="Times New Roman"/>
        </w:rPr>
        <w:t>浓度、施肥时间、施肥方法</w:t>
      </w:r>
      <w:r>
        <w:rPr>
          <w:rFonts w:hint="eastAsia"/>
        </w:rPr>
        <w:t>等各环节进行详细记录，</w:t>
      </w:r>
      <w:r>
        <w:rPr>
          <w:rFonts w:hint="eastAsia"/>
          <w:lang w:eastAsia="zh-CN"/>
        </w:rPr>
        <w:t>见附录</w:t>
      </w:r>
      <w:r>
        <w:rPr>
          <w:rFonts w:hint="eastAsia"/>
          <w:lang w:val="en-US" w:eastAsia="zh-CN"/>
        </w:rPr>
        <w:t>A，</w:t>
      </w:r>
      <w:r>
        <w:rPr>
          <w:rFonts w:hint="eastAsia"/>
        </w:rPr>
        <w:t>档案保存</w:t>
      </w:r>
      <w:r>
        <w:rPr>
          <w:rFonts w:hint="eastAsia"/>
          <w:lang w:val="en-US" w:eastAsia="zh-CN"/>
        </w:rPr>
        <w:t>2</w:t>
      </w:r>
      <w:bookmarkStart w:id="71" w:name="_GoBack"/>
      <w:bookmarkEnd w:id="71"/>
      <w:r>
        <w:rPr>
          <w:rFonts w:hint="eastAsia"/>
        </w:rPr>
        <w:t>年以上。</w:t>
      </w:r>
      <w:bookmarkStart w:id="66" w:name="_Toc503024070"/>
      <w:bookmarkEnd w:id="66"/>
    </w:p>
    <w:p>
      <w:pPr>
        <w:pStyle w:val="230"/>
        <w:spacing w:before="156" w:beforeLines="50" w:after="156" w:afterLines="50" w:line="320" w:lineRule="exact"/>
        <w:ind w:firstLine="0" w:firstLineChars="0"/>
        <w:rPr>
          <w:rFonts w:ascii="Times New Roman" w:eastAsia="黑体"/>
        </w:rPr>
      </w:pPr>
    </w:p>
    <w:p>
      <w:pPr>
        <w:pStyle w:val="56"/>
        <w:ind w:firstLine="420"/>
      </w:pPr>
    </w:p>
    <w:p>
      <w:pPr>
        <w:pStyle w:val="56"/>
        <w:ind w:firstLine="420"/>
      </w:pPr>
    </w:p>
    <w:p>
      <w:pPr>
        <w:pStyle w:val="56"/>
        <w:ind w:firstLine="420"/>
      </w:pPr>
    </w:p>
    <w:p>
      <w:pPr>
        <w:pStyle w:val="56"/>
        <w:ind w:firstLine="420"/>
        <w:sectPr>
          <w:pgSz w:w="11906" w:h="16838"/>
          <w:pgMar w:top="1871" w:right="1134" w:bottom="1134" w:left="1134" w:header="1418" w:footer="1134" w:gutter="284"/>
          <w:pgNumType w:start="1"/>
          <w:cols w:space="425" w:num="1"/>
          <w:formProt w:val="0"/>
          <w:docGrid w:type="lines" w:linePitch="312" w:charSpace="0"/>
        </w:sectPr>
      </w:pPr>
    </w:p>
    <w:bookmarkEnd w:id="25"/>
    <w:p>
      <w:pPr>
        <w:pStyle w:val="198"/>
      </w:pPr>
      <w:bookmarkStart w:id="67" w:name="BookMark5"/>
    </w:p>
    <w:p>
      <w:pPr>
        <w:pStyle w:val="199"/>
      </w:pPr>
    </w:p>
    <w:p>
      <w:pPr>
        <w:pStyle w:val="76"/>
        <w:spacing w:before="78" w:after="156"/>
      </w:pPr>
      <w:r>
        <w:br w:type="textWrapping"/>
      </w:r>
      <w:bookmarkStart w:id="68" w:name="_Toc163419289"/>
      <w:bookmarkStart w:id="69" w:name="_Toc163420155"/>
      <w:r>
        <w:rPr>
          <w:rFonts w:hint="eastAsia"/>
        </w:rPr>
        <w:t>（资料性）</w:t>
      </w:r>
      <w:r>
        <w:br w:type="textWrapping"/>
      </w:r>
      <w:r>
        <w:rPr>
          <w:rFonts w:hint="eastAsia"/>
        </w:rPr>
        <w:t>生产档案</w:t>
      </w:r>
      <w:bookmarkEnd w:id="68"/>
      <w:bookmarkEnd w:id="69"/>
    </w:p>
    <w:tbl>
      <w:tblPr>
        <w:tblStyle w:val="27"/>
        <w:tblW w:w="9617"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1611"/>
        <w:gridCol w:w="820"/>
        <w:gridCol w:w="746"/>
        <w:gridCol w:w="1568"/>
        <w:gridCol w:w="1082"/>
        <w:gridCol w:w="929"/>
        <w:gridCol w:w="1743"/>
        <w:gridCol w:w="111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59" w:hRule="exact"/>
          <w:jc w:val="center"/>
        </w:trPr>
        <w:tc>
          <w:tcPr>
            <w:tcW w:w="1611" w:type="dxa"/>
            <w:tcBorders>
              <w:top w:val="single" w:color="auto" w:sz="8" w:space="0"/>
              <w:bottom w:val="single" w:color="auto" w:sz="8" w:space="0"/>
            </w:tcBorders>
            <w:shd w:val="clear" w:color="auto" w:fill="auto"/>
            <w:vAlign w:val="center"/>
          </w:tcPr>
          <w:p>
            <w:pPr>
              <w:spacing w:line="240" w:lineRule="auto"/>
              <w:jc w:val="center"/>
              <w:rPr>
                <w:rFonts w:ascii="宋体" w:hAnsi="宋体"/>
                <w:kern w:val="0"/>
                <w:sz w:val="18"/>
              </w:rPr>
            </w:pPr>
            <w:r>
              <w:rPr>
                <w:rFonts w:hint="eastAsia" w:ascii="宋体" w:hAnsi="宋体"/>
                <w:kern w:val="0"/>
                <w:sz w:val="18"/>
              </w:rPr>
              <w:t>年度</w:t>
            </w:r>
          </w:p>
        </w:tc>
        <w:tc>
          <w:tcPr>
            <w:tcW w:w="820" w:type="dxa"/>
            <w:tcBorders>
              <w:top w:val="single" w:color="auto" w:sz="8" w:space="0"/>
              <w:bottom w:val="single" w:color="auto" w:sz="8" w:space="0"/>
            </w:tcBorders>
            <w:shd w:val="clear" w:color="auto" w:fill="auto"/>
            <w:vAlign w:val="center"/>
          </w:tcPr>
          <w:p>
            <w:pPr>
              <w:spacing w:line="240" w:lineRule="auto"/>
              <w:jc w:val="center"/>
              <w:rPr>
                <w:rFonts w:ascii="宋体" w:hAnsi="宋体"/>
                <w:kern w:val="0"/>
                <w:sz w:val="18"/>
              </w:rPr>
            </w:pPr>
          </w:p>
        </w:tc>
        <w:tc>
          <w:tcPr>
            <w:tcW w:w="746" w:type="dxa"/>
            <w:tcBorders>
              <w:top w:val="single" w:color="auto" w:sz="8" w:space="0"/>
              <w:bottom w:val="single" w:color="auto" w:sz="8" w:space="0"/>
            </w:tcBorders>
            <w:shd w:val="clear" w:color="auto" w:fill="auto"/>
            <w:vAlign w:val="center"/>
          </w:tcPr>
          <w:p>
            <w:pPr>
              <w:spacing w:line="240" w:lineRule="auto"/>
              <w:jc w:val="center"/>
              <w:rPr>
                <w:rFonts w:ascii="宋体" w:hAnsi="宋体"/>
                <w:kern w:val="0"/>
                <w:sz w:val="18"/>
              </w:rPr>
            </w:pPr>
            <w:r>
              <w:rPr>
                <w:rFonts w:hint="eastAsia" w:ascii="宋体" w:hAnsi="宋体"/>
                <w:kern w:val="0"/>
                <w:sz w:val="18"/>
              </w:rPr>
              <w:t>地点</w:t>
            </w:r>
          </w:p>
        </w:tc>
        <w:tc>
          <w:tcPr>
            <w:tcW w:w="1568" w:type="dxa"/>
            <w:tcBorders>
              <w:top w:val="single" w:color="auto" w:sz="8" w:space="0"/>
              <w:bottom w:val="single" w:color="auto" w:sz="8" w:space="0"/>
            </w:tcBorders>
            <w:shd w:val="clear" w:color="auto" w:fill="auto"/>
            <w:vAlign w:val="center"/>
          </w:tcPr>
          <w:p>
            <w:pPr>
              <w:spacing w:line="240" w:lineRule="auto"/>
              <w:jc w:val="center"/>
              <w:rPr>
                <w:rFonts w:ascii="宋体" w:hAnsi="宋体"/>
                <w:kern w:val="0"/>
                <w:sz w:val="18"/>
              </w:rPr>
            </w:pPr>
          </w:p>
        </w:tc>
        <w:tc>
          <w:tcPr>
            <w:tcW w:w="1082" w:type="dxa"/>
            <w:tcBorders>
              <w:top w:val="single" w:color="auto" w:sz="8" w:space="0"/>
              <w:bottom w:val="single" w:color="auto" w:sz="8" w:space="0"/>
            </w:tcBorders>
            <w:shd w:val="clear" w:color="auto" w:fill="auto"/>
            <w:vAlign w:val="center"/>
          </w:tcPr>
          <w:p>
            <w:pPr>
              <w:spacing w:line="240" w:lineRule="auto"/>
              <w:jc w:val="center"/>
              <w:rPr>
                <w:rFonts w:ascii="宋体" w:hAnsi="宋体"/>
                <w:kern w:val="0"/>
                <w:sz w:val="18"/>
              </w:rPr>
            </w:pPr>
            <w:r>
              <w:rPr>
                <w:rFonts w:hint="eastAsia" w:ascii="宋体" w:hAnsi="宋体"/>
                <w:kern w:val="0"/>
                <w:sz w:val="18"/>
              </w:rPr>
              <w:t>种类</w:t>
            </w:r>
          </w:p>
        </w:tc>
        <w:tc>
          <w:tcPr>
            <w:tcW w:w="929" w:type="dxa"/>
            <w:tcBorders>
              <w:top w:val="single" w:color="auto" w:sz="8" w:space="0"/>
              <w:bottom w:val="single" w:color="auto" w:sz="8" w:space="0"/>
            </w:tcBorders>
            <w:shd w:val="clear" w:color="auto" w:fill="auto"/>
            <w:vAlign w:val="center"/>
          </w:tcPr>
          <w:p>
            <w:pPr>
              <w:spacing w:line="240" w:lineRule="auto"/>
              <w:jc w:val="center"/>
              <w:rPr>
                <w:rFonts w:ascii="宋体" w:hAnsi="宋体"/>
                <w:kern w:val="0"/>
                <w:sz w:val="18"/>
              </w:rPr>
            </w:pPr>
          </w:p>
        </w:tc>
        <w:tc>
          <w:tcPr>
            <w:tcW w:w="1743" w:type="dxa"/>
            <w:tcBorders>
              <w:top w:val="single" w:color="auto" w:sz="8" w:space="0"/>
              <w:bottom w:val="single" w:color="auto" w:sz="8" w:space="0"/>
            </w:tcBorders>
            <w:shd w:val="clear" w:color="auto" w:fill="auto"/>
            <w:vAlign w:val="center"/>
          </w:tcPr>
          <w:p>
            <w:pPr>
              <w:spacing w:line="240" w:lineRule="auto"/>
              <w:jc w:val="center"/>
              <w:rPr>
                <w:rFonts w:ascii="宋体" w:hAnsi="宋体"/>
                <w:kern w:val="0"/>
                <w:sz w:val="18"/>
              </w:rPr>
            </w:pPr>
            <w:r>
              <w:rPr>
                <w:rFonts w:hint="eastAsia" w:ascii="宋体" w:hAnsi="宋体"/>
                <w:kern w:val="0"/>
                <w:sz w:val="18"/>
              </w:rPr>
              <w:t>记录人</w:t>
            </w:r>
          </w:p>
        </w:tc>
        <w:tc>
          <w:tcPr>
            <w:tcW w:w="1118" w:type="dxa"/>
            <w:tcBorders>
              <w:top w:val="single" w:color="auto" w:sz="8" w:space="0"/>
              <w:bottom w:val="single" w:color="auto" w:sz="8" w:space="0"/>
            </w:tcBorders>
            <w:shd w:val="clear" w:color="auto" w:fill="auto"/>
            <w:vAlign w:val="center"/>
          </w:tcPr>
          <w:p>
            <w:pPr>
              <w:spacing w:line="240" w:lineRule="auto"/>
              <w:jc w:val="center"/>
              <w:rPr>
                <w:rFonts w:ascii="宋体" w:hAnsi="宋体"/>
                <w:kern w:val="0"/>
                <w:sz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59" w:hRule="exact"/>
          <w:jc w:val="center"/>
        </w:trPr>
        <w:tc>
          <w:tcPr>
            <w:tcW w:w="9617" w:type="dxa"/>
            <w:gridSpan w:val="8"/>
            <w:tcBorders>
              <w:top w:val="single" w:color="auto" w:sz="8" w:space="0"/>
            </w:tcBorders>
            <w:shd w:val="clear" w:color="auto" w:fill="auto"/>
            <w:vAlign w:val="center"/>
          </w:tcPr>
          <w:p>
            <w:pPr>
              <w:spacing w:line="240" w:lineRule="auto"/>
              <w:jc w:val="left"/>
              <w:rPr>
                <w:rFonts w:ascii="宋体" w:hAnsi="宋体"/>
                <w:kern w:val="0"/>
                <w:sz w:val="18"/>
              </w:rPr>
            </w:pPr>
            <w:r>
              <w:rPr>
                <w:rFonts w:hint="eastAsia" w:ascii="宋体" w:hAnsi="宋体"/>
                <w:kern w:val="0"/>
                <w:sz w:val="18"/>
              </w:rPr>
              <w:t>一、基本情况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59" w:hRule="exact"/>
          <w:jc w:val="center"/>
        </w:trPr>
        <w:tc>
          <w:tcPr>
            <w:tcW w:w="2431" w:type="dxa"/>
            <w:gridSpan w:val="2"/>
            <w:shd w:val="clear" w:color="auto" w:fill="auto"/>
            <w:vAlign w:val="center"/>
          </w:tcPr>
          <w:p>
            <w:pPr>
              <w:spacing w:line="240" w:lineRule="auto"/>
              <w:jc w:val="center"/>
              <w:rPr>
                <w:rFonts w:ascii="宋体" w:hAnsi="宋体"/>
                <w:kern w:val="0"/>
                <w:sz w:val="18"/>
              </w:rPr>
            </w:pPr>
            <w:r>
              <w:rPr>
                <w:rFonts w:hint="eastAsia" w:ascii="宋体" w:hAnsi="宋体"/>
                <w:kern w:val="0"/>
                <w:sz w:val="18"/>
              </w:rPr>
              <w:t>设施类型</w:t>
            </w:r>
          </w:p>
        </w:tc>
        <w:tc>
          <w:tcPr>
            <w:tcW w:w="2314" w:type="dxa"/>
            <w:gridSpan w:val="2"/>
            <w:shd w:val="clear" w:color="auto" w:fill="auto"/>
            <w:vAlign w:val="center"/>
          </w:tcPr>
          <w:p>
            <w:pPr>
              <w:spacing w:line="240" w:lineRule="auto"/>
              <w:jc w:val="center"/>
              <w:rPr>
                <w:rFonts w:ascii="宋体" w:hAnsi="宋体"/>
                <w:kern w:val="0"/>
                <w:sz w:val="18"/>
              </w:rPr>
            </w:pPr>
          </w:p>
        </w:tc>
        <w:tc>
          <w:tcPr>
            <w:tcW w:w="2011" w:type="dxa"/>
            <w:gridSpan w:val="2"/>
            <w:shd w:val="clear" w:color="auto" w:fill="auto"/>
            <w:vAlign w:val="center"/>
          </w:tcPr>
          <w:p>
            <w:pPr>
              <w:spacing w:line="240" w:lineRule="auto"/>
              <w:jc w:val="center"/>
              <w:rPr>
                <w:rFonts w:ascii="宋体" w:hAnsi="宋体"/>
                <w:kern w:val="0"/>
                <w:sz w:val="18"/>
              </w:rPr>
            </w:pPr>
            <w:r>
              <w:rPr>
                <w:rFonts w:hint="eastAsia" w:ascii="宋体" w:hAnsi="宋体"/>
                <w:kern w:val="0"/>
                <w:sz w:val="18"/>
              </w:rPr>
              <w:t>品种名称</w:t>
            </w:r>
          </w:p>
        </w:tc>
        <w:tc>
          <w:tcPr>
            <w:tcW w:w="2861" w:type="dxa"/>
            <w:gridSpan w:val="2"/>
            <w:shd w:val="clear" w:color="auto" w:fill="auto"/>
            <w:vAlign w:val="center"/>
          </w:tcPr>
          <w:p>
            <w:pPr>
              <w:spacing w:line="240" w:lineRule="auto"/>
              <w:jc w:val="center"/>
              <w:rPr>
                <w:rFonts w:ascii="宋体" w:hAnsi="宋体"/>
                <w:kern w:val="0"/>
                <w:sz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59" w:hRule="exact"/>
          <w:jc w:val="center"/>
        </w:trPr>
        <w:tc>
          <w:tcPr>
            <w:tcW w:w="2431" w:type="dxa"/>
            <w:gridSpan w:val="2"/>
            <w:shd w:val="clear" w:color="auto" w:fill="auto"/>
            <w:vAlign w:val="center"/>
          </w:tcPr>
          <w:p>
            <w:pPr>
              <w:spacing w:line="240" w:lineRule="auto"/>
              <w:jc w:val="center"/>
              <w:rPr>
                <w:rFonts w:ascii="宋体" w:hAnsi="宋体" w:cs="黑体"/>
                <w:sz w:val="18"/>
              </w:rPr>
            </w:pPr>
            <w:r>
              <w:rPr>
                <w:rFonts w:hint="eastAsia" w:ascii="宋体" w:hAnsi="宋体"/>
                <w:kern w:val="0"/>
                <w:sz w:val="18"/>
              </w:rPr>
              <w:t>种植面积</w:t>
            </w:r>
          </w:p>
        </w:tc>
        <w:tc>
          <w:tcPr>
            <w:tcW w:w="2314" w:type="dxa"/>
            <w:gridSpan w:val="2"/>
            <w:shd w:val="clear" w:color="auto" w:fill="auto"/>
            <w:vAlign w:val="center"/>
          </w:tcPr>
          <w:p>
            <w:pPr>
              <w:spacing w:line="240" w:lineRule="auto"/>
              <w:jc w:val="center"/>
              <w:rPr>
                <w:rFonts w:ascii="宋体" w:hAnsi="宋体" w:cs="黑体"/>
                <w:sz w:val="18"/>
              </w:rPr>
            </w:pPr>
          </w:p>
        </w:tc>
        <w:tc>
          <w:tcPr>
            <w:tcW w:w="2011" w:type="dxa"/>
            <w:gridSpan w:val="2"/>
            <w:shd w:val="clear" w:color="auto" w:fill="auto"/>
            <w:vAlign w:val="center"/>
          </w:tcPr>
          <w:p>
            <w:pPr>
              <w:spacing w:line="240" w:lineRule="auto"/>
              <w:jc w:val="center"/>
              <w:rPr>
                <w:rFonts w:ascii="宋体" w:hAnsi="宋体" w:cs="黑体"/>
                <w:sz w:val="18"/>
              </w:rPr>
            </w:pPr>
            <w:r>
              <w:rPr>
                <w:rFonts w:hint="eastAsia" w:ascii="宋体" w:hAnsi="宋体" w:cs="黑体"/>
                <w:sz w:val="18"/>
              </w:rPr>
              <w:t>定植时间</w:t>
            </w:r>
          </w:p>
        </w:tc>
        <w:tc>
          <w:tcPr>
            <w:tcW w:w="2861" w:type="dxa"/>
            <w:gridSpan w:val="2"/>
            <w:shd w:val="clear" w:color="auto" w:fill="auto"/>
            <w:vAlign w:val="center"/>
          </w:tcPr>
          <w:p>
            <w:pPr>
              <w:spacing w:line="240" w:lineRule="auto"/>
              <w:jc w:val="center"/>
              <w:rPr>
                <w:rFonts w:ascii="宋体" w:hAnsi="宋体" w:cs="黑体"/>
                <w:sz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59" w:hRule="exact"/>
          <w:jc w:val="center"/>
        </w:trPr>
        <w:tc>
          <w:tcPr>
            <w:tcW w:w="2431" w:type="dxa"/>
            <w:gridSpan w:val="2"/>
            <w:shd w:val="clear" w:color="auto" w:fill="auto"/>
            <w:vAlign w:val="center"/>
          </w:tcPr>
          <w:p>
            <w:pPr>
              <w:spacing w:line="240" w:lineRule="auto"/>
              <w:jc w:val="center"/>
              <w:rPr>
                <w:rFonts w:ascii="宋体" w:hAnsi="宋体" w:cs="黑体"/>
                <w:sz w:val="18"/>
              </w:rPr>
            </w:pPr>
            <w:r>
              <w:rPr>
                <w:rFonts w:hint="eastAsia" w:ascii="宋体" w:hAnsi="宋体" w:cs="黑体"/>
                <w:sz w:val="18"/>
              </w:rPr>
              <w:t>始收时间</w:t>
            </w:r>
          </w:p>
        </w:tc>
        <w:tc>
          <w:tcPr>
            <w:tcW w:w="2314" w:type="dxa"/>
            <w:gridSpan w:val="2"/>
            <w:shd w:val="clear" w:color="auto" w:fill="auto"/>
            <w:vAlign w:val="center"/>
          </w:tcPr>
          <w:p>
            <w:pPr>
              <w:spacing w:line="240" w:lineRule="auto"/>
              <w:jc w:val="center"/>
              <w:rPr>
                <w:rFonts w:ascii="宋体" w:hAnsi="宋体" w:cs="黑体"/>
                <w:sz w:val="18"/>
              </w:rPr>
            </w:pPr>
          </w:p>
        </w:tc>
        <w:tc>
          <w:tcPr>
            <w:tcW w:w="2011" w:type="dxa"/>
            <w:gridSpan w:val="2"/>
            <w:shd w:val="clear" w:color="auto" w:fill="auto"/>
            <w:vAlign w:val="center"/>
          </w:tcPr>
          <w:p>
            <w:pPr>
              <w:spacing w:line="240" w:lineRule="auto"/>
              <w:jc w:val="center"/>
              <w:rPr>
                <w:rFonts w:ascii="宋体" w:hAnsi="宋体" w:cs="黑体"/>
                <w:sz w:val="18"/>
              </w:rPr>
            </w:pPr>
            <w:r>
              <w:rPr>
                <w:rFonts w:hint="eastAsia" w:ascii="宋体" w:hAnsi="宋体" w:cs="黑体"/>
                <w:sz w:val="18"/>
              </w:rPr>
              <w:t>终收时间</w:t>
            </w:r>
          </w:p>
        </w:tc>
        <w:tc>
          <w:tcPr>
            <w:tcW w:w="2861" w:type="dxa"/>
            <w:gridSpan w:val="2"/>
            <w:shd w:val="clear" w:color="auto" w:fill="auto"/>
            <w:vAlign w:val="center"/>
          </w:tcPr>
          <w:p>
            <w:pPr>
              <w:spacing w:line="240" w:lineRule="auto"/>
              <w:jc w:val="center"/>
              <w:rPr>
                <w:rFonts w:ascii="宋体" w:hAnsi="宋体" w:cs="黑体"/>
                <w:sz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59" w:hRule="exact"/>
          <w:jc w:val="center"/>
        </w:trPr>
        <w:tc>
          <w:tcPr>
            <w:tcW w:w="9617" w:type="dxa"/>
            <w:gridSpan w:val="8"/>
            <w:shd w:val="clear" w:color="auto" w:fill="auto"/>
            <w:vAlign w:val="center"/>
          </w:tcPr>
          <w:p>
            <w:pPr>
              <w:spacing w:line="240" w:lineRule="auto"/>
              <w:rPr>
                <w:rFonts w:ascii="宋体" w:hAnsi="宋体" w:cs="黑体"/>
                <w:sz w:val="18"/>
              </w:rPr>
            </w:pPr>
            <w:r>
              <w:rPr>
                <w:rFonts w:hint="eastAsia" w:ascii="宋体" w:hAnsi="宋体" w:cs="黑体"/>
                <w:sz w:val="18"/>
              </w:rPr>
              <w:t>二、</w:t>
            </w:r>
            <w:r>
              <w:rPr>
                <w:rFonts w:ascii="Times New Roman"/>
                <w:sz w:val="18"/>
              </w:rPr>
              <w:t>CO</w:t>
            </w:r>
            <w:r>
              <w:rPr>
                <w:rFonts w:ascii="Times New Roman"/>
                <w:sz w:val="18"/>
                <w:vertAlign w:val="subscript"/>
              </w:rPr>
              <w:t>2</w:t>
            </w:r>
            <w:r>
              <w:rPr>
                <w:rFonts w:hint="eastAsia" w:ascii="宋体" w:hAnsi="宋体" w:cs="黑体"/>
                <w:sz w:val="18"/>
              </w:rPr>
              <w:t>施肥情况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59" w:hRule="exact"/>
          <w:jc w:val="center"/>
        </w:trPr>
        <w:tc>
          <w:tcPr>
            <w:tcW w:w="1611" w:type="dxa"/>
            <w:shd w:val="clear" w:color="auto" w:fill="auto"/>
            <w:vAlign w:val="center"/>
          </w:tcPr>
          <w:p>
            <w:pPr>
              <w:spacing w:line="240" w:lineRule="auto"/>
              <w:jc w:val="center"/>
              <w:rPr>
                <w:rFonts w:ascii="宋体" w:hAnsi="宋体" w:cs="黑体"/>
                <w:sz w:val="18"/>
              </w:rPr>
            </w:pPr>
            <w:r>
              <w:rPr>
                <w:rFonts w:hint="eastAsia" w:ascii="宋体" w:hAnsi="宋体" w:cs="黑体"/>
                <w:sz w:val="18"/>
              </w:rPr>
              <w:t>日期</w:t>
            </w:r>
          </w:p>
        </w:tc>
        <w:tc>
          <w:tcPr>
            <w:tcW w:w="1566" w:type="dxa"/>
            <w:gridSpan w:val="2"/>
            <w:shd w:val="clear" w:color="auto" w:fill="auto"/>
            <w:vAlign w:val="center"/>
          </w:tcPr>
          <w:p>
            <w:pPr>
              <w:spacing w:line="240" w:lineRule="auto"/>
              <w:jc w:val="center"/>
              <w:rPr>
                <w:rFonts w:ascii="宋体" w:hAnsi="宋体" w:cs="黑体"/>
                <w:sz w:val="18"/>
              </w:rPr>
            </w:pPr>
            <w:r>
              <w:rPr>
                <w:rFonts w:hint="eastAsia" w:ascii="宋体" w:hAnsi="宋体" w:cs="黑体"/>
                <w:sz w:val="18"/>
              </w:rPr>
              <w:t>施肥时间</w:t>
            </w:r>
          </w:p>
        </w:tc>
        <w:tc>
          <w:tcPr>
            <w:tcW w:w="1568" w:type="dxa"/>
            <w:shd w:val="clear" w:color="auto" w:fill="auto"/>
            <w:vAlign w:val="center"/>
          </w:tcPr>
          <w:p>
            <w:pPr>
              <w:spacing w:line="240" w:lineRule="auto"/>
              <w:jc w:val="center"/>
              <w:rPr>
                <w:rFonts w:ascii="宋体" w:hAnsi="宋体" w:cs="黑体"/>
                <w:sz w:val="18"/>
              </w:rPr>
            </w:pPr>
            <w:r>
              <w:rPr>
                <w:rFonts w:hint="eastAsia"/>
                <w:sz w:val="18"/>
              </w:rPr>
              <w:t>施肥浓度</w:t>
            </w:r>
          </w:p>
        </w:tc>
        <w:tc>
          <w:tcPr>
            <w:tcW w:w="2011" w:type="dxa"/>
            <w:gridSpan w:val="2"/>
            <w:shd w:val="clear" w:color="auto" w:fill="auto"/>
            <w:vAlign w:val="center"/>
          </w:tcPr>
          <w:p>
            <w:pPr>
              <w:spacing w:line="240" w:lineRule="auto"/>
              <w:jc w:val="center"/>
              <w:rPr>
                <w:rFonts w:ascii="宋体" w:hAnsi="宋体" w:cs="黑体"/>
                <w:sz w:val="18"/>
              </w:rPr>
            </w:pPr>
            <w:r>
              <w:rPr>
                <w:rFonts w:hint="eastAsia" w:ascii="宋体" w:hAnsi="宋体" w:cs="黑体"/>
                <w:sz w:val="18"/>
              </w:rPr>
              <w:t>施肥方法</w:t>
            </w:r>
          </w:p>
        </w:tc>
        <w:tc>
          <w:tcPr>
            <w:tcW w:w="2861" w:type="dxa"/>
            <w:gridSpan w:val="2"/>
            <w:shd w:val="clear" w:color="auto" w:fill="auto"/>
            <w:vAlign w:val="center"/>
          </w:tcPr>
          <w:p>
            <w:pPr>
              <w:spacing w:line="240" w:lineRule="auto"/>
              <w:jc w:val="center"/>
              <w:rPr>
                <w:rFonts w:ascii="宋体" w:hAnsi="宋体" w:cs="黑体"/>
                <w:sz w:val="18"/>
              </w:rPr>
            </w:pPr>
            <w:r>
              <w:rPr>
                <w:rFonts w:hint="eastAsia"/>
                <w:sz w:val="18"/>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9" w:hRule="exact"/>
          <w:jc w:val="center"/>
        </w:trPr>
        <w:tc>
          <w:tcPr>
            <w:tcW w:w="1611" w:type="dxa"/>
            <w:shd w:val="clear" w:color="auto" w:fill="auto"/>
            <w:vAlign w:val="center"/>
          </w:tcPr>
          <w:p>
            <w:pPr>
              <w:spacing w:line="240" w:lineRule="auto"/>
              <w:jc w:val="center"/>
              <w:rPr>
                <w:rFonts w:ascii="宋体" w:hAnsi="宋体" w:cs="黑体"/>
                <w:sz w:val="18"/>
              </w:rPr>
            </w:pPr>
          </w:p>
        </w:tc>
        <w:tc>
          <w:tcPr>
            <w:tcW w:w="1566" w:type="dxa"/>
            <w:gridSpan w:val="2"/>
            <w:shd w:val="clear" w:color="auto" w:fill="auto"/>
            <w:vAlign w:val="center"/>
          </w:tcPr>
          <w:p>
            <w:pPr>
              <w:spacing w:line="240" w:lineRule="auto"/>
              <w:jc w:val="center"/>
              <w:rPr>
                <w:rFonts w:ascii="宋体" w:hAnsi="宋体" w:cs="黑体"/>
                <w:sz w:val="18"/>
              </w:rPr>
            </w:pPr>
          </w:p>
        </w:tc>
        <w:tc>
          <w:tcPr>
            <w:tcW w:w="1568" w:type="dxa"/>
            <w:shd w:val="clear" w:color="auto" w:fill="auto"/>
            <w:vAlign w:val="center"/>
          </w:tcPr>
          <w:p>
            <w:pPr>
              <w:spacing w:line="240" w:lineRule="auto"/>
              <w:jc w:val="center"/>
              <w:rPr>
                <w:rFonts w:ascii="宋体" w:hAnsi="宋体" w:cs="黑体"/>
                <w:sz w:val="18"/>
              </w:rPr>
            </w:pPr>
          </w:p>
        </w:tc>
        <w:tc>
          <w:tcPr>
            <w:tcW w:w="2011" w:type="dxa"/>
            <w:gridSpan w:val="2"/>
            <w:shd w:val="clear" w:color="auto" w:fill="auto"/>
            <w:vAlign w:val="center"/>
          </w:tcPr>
          <w:p>
            <w:pPr>
              <w:spacing w:line="240" w:lineRule="auto"/>
              <w:jc w:val="center"/>
              <w:rPr>
                <w:rFonts w:ascii="宋体" w:hAnsi="宋体" w:cs="黑体"/>
                <w:sz w:val="18"/>
              </w:rPr>
            </w:pPr>
          </w:p>
        </w:tc>
        <w:tc>
          <w:tcPr>
            <w:tcW w:w="2861" w:type="dxa"/>
            <w:gridSpan w:val="2"/>
            <w:shd w:val="clear" w:color="auto" w:fill="auto"/>
            <w:vAlign w:val="center"/>
          </w:tcPr>
          <w:p>
            <w:pPr>
              <w:spacing w:line="240" w:lineRule="auto"/>
              <w:jc w:val="center"/>
              <w:rPr>
                <w:rFonts w:ascii="宋体" w:hAnsi="宋体" w:cs="黑体"/>
                <w:sz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59" w:hRule="exact"/>
          <w:jc w:val="center"/>
        </w:trPr>
        <w:tc>
          <w:tcPr>
            <w:tcW w:w="1611" w:type="dxa"/>
            <w:shd w:val="clear" w:color="auto" w:fill="auto"/>
            <w:vAlign w:val="center"/>
          </w:tcPr>
          <w:p>
            <w:pPr>
              <w:spacing w:line="240" w:lineRule="auto"/>
              <w:jc w:val="center"/>
              <w:rPr>
                <w:rFonts w:ascii="宋体" w:hAnsi="宋体" w:cs="黑体"/>
                <w:sz w:val="18"/>
              </w:rPr>
            </w:pPr>
          </w:p>
        </w:tc>
        <w:tc>
          <w:tcPr>
            <w:tcW w:w="1566" w:type="dxa"/>
            <w:gridSpan w:val="2"/>
            <w:shd w:val="clear" w:color="auto" w:fill="auto"/>
            <w:vAlign w:val="center"/>
          </w:tcPr>
          <w:p>
            <w:pPr>
              <w:spacing w:line="240" w:lineRule="auto"/>
              <w:jc w:val="center"/>
              <w:rPr>
                <w:rFonts w:ascii="宋体" w:hAnsi="宋体" w:cs="黑体"/>
                <w:sz w:val="18"/>
              </w:rPr>
            </w:pPr>
          </w:p>
        </w:tc>
        <w:tc>
          <w:tcPr>
            <w:tcW w:w="1568" w:type="dxa"/>
            <w:shd w:val="clear" w:color="auto" w:fill="auto"/>
            <w:vAlign w:val="center"/>
          </w:tcPr>
          <w:p>
            <w:pPr>
              <w:spacing w:line="240" w:lineRule="auto"/>
              <w:jc w:val="center"/>
              <w:rPr>
                <w:rFonts w:ascii="宋体" w:hAnsi="宋体" w:cs="黑体"/>
                <w:sz w:val="18"/>
              </w:rPr>
            </w:pPr>
          </w:p>
        </w:tc>
        <w:tc>
          <w:tcPr>
            <w:tcW w:w="2011" w:type="dxa"/>
            <w:gridSpan w:val="2"/>
            <w:shd w:val="clear" w:color="auto" w:fill="auto"/>
            <w:vAlign w:val="center"/>
          </w:tcPr>
          <w:p>
            <w:pPr>
              <w:spacing w:line="240" w:lineRule="auto"/>
              <w:jc w:val="center"/>
              <w:rPr>
                <w:rFonts w:ascii="宋体" w:hAnsi="宋体" w:cs="黑体"/>
                <w:sz w:val="18"/>
              </w:rPr>
            </w:pPr>
          </w:p>
        </w:tc>
        <w:tc>
          <w:tcPr>
            <w:tcW w:w="2861" w:type="dxa"/>
            <w:gridSpan w:val="2"/>
            <w:shd w:val="clear" w:color="auto" w:fill="auto"/>
            <w:vAlign w:val="center"/>
          </w:tcPr>
          <w:p>
            <w:pPr>
              <w:spacing w:line="240" w:lineRule="auto"/>
              <w:jc w:val="center"/>
              <w:rPr>
                <w:rFonts w:ascii="宋体" w:hAnsi="宋体" w:cs="黑体"/>
                <w:sz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59" w:hRule="exact"/>
          <w:jc w:val="center"/>
        </w:trPr>
        <w:tc>
          <w:tcPr>
            <w:tcW w:w="1611" w:type="dxa"/>
            <w:shd w:val="clear" w:color="auto" w:fill="auto"/>
            <w:vAlign w:val="center"/>
          </w:tcPr>
          <w:p>
            <w:pPr>
              <w:spacing w:line="240" w:lineRule="auto"/>
              <w:jc w:val="center"/>
              <w:rPr>
                <w:rFonts w:ascii="宋体" w:hAnsi="宋体" w:cs="黑体"/>
                <w:sz w:val="18"/>
              </w:rPr>
            </w:pPr>
          </w:p>
        </w:tc>
        <w:tc>
          <w:tcPr>
            <w:tcW w:w="1566" w:type="dxa"/>
            <w:gridSpan w:val="2"/>
            <w:shd w:val="clear" w:color="auto" w:fill="auto"/>
            <w:vAlign w:val="center"/>
          </w:tcPr>
          <w:p>
            <w:pPr>
              <w:spacing w:line="240" w:lineRule="auto"/>
              <w:jc w:val="center"/>
              <w:rPr>
                <w:rFonts w:ascii="宋体" w:hAnsi="宋体" w:cs="黑体"/>
                <w:sz w:val="18"/>
              </w:rPr>
            </w:pPr>
          </w:p>
        </w:tc>
        <w:tc>
          <w:tcPr>
            <w:tcW w:w="1568" w:type="dxa"/>
            <w:shd w:val="clear" w:color="auto" w:fill="auto"/>
            <w:vAlign w:val="center"/>
          </w:tcPr>
          <w:p>
            <w:pPr>
              <w:spacing w:line="240" w:lineRule="auto"/>
              <w:jc w:val="center"/>
              <w:rPr>
                <w:rFonts w:ascii="宋体" w:hAnsi="宋体" w:cs="黑体"/>
                <w:sz w:val="18"/>
              </w:rPr>
            </w:pPr>
          </w:p>
        </w:tc>
        <w:tc>
          <w:tcPr>
            <w:tcW w:w="2011" w:type="dxa"/>
            <w:gridSpan w:val="2"/>
            <w:shd w:val="clear" w:color="auto" w:fill="auto"/>
            <w:vAlign w:val="center"/>
          </w:tcPr>
          <w:p>
            <w:pPr>
              <w:spacing w:line="240" w:lineRule="auto"/>
              <w:jc w:val="center"/>
              <w:rPr>
                <w:rFonts w:ascii="宋体" w:hAnsi="宋体" w:cs="黑体"/>
                <w:sz w:val="18"/>
              </w:rPr>
            </w:pPr>
          </w:p>
        </w:tc>
        <w:tc>
          <w:tcPr>
            <w:tcW w:w="2861" w:type="dxa"/>
            <w:gridSpan w:val="2"/>
            <w:shd w:val="clear" w:color="auto" w:fill="auto"/>
            <w:vAlign w:val="center"/>
          </w:tcPr>
          <w:p>
            <w:pPr>
              <w:spacing w:line="240" w:lineRule="auto"/>
              <w:jc w:val="center"/>
              <w:rPr>
                <w:rFonts w:ascii="宋体" w:hAnsi="宋体" w:cs="黑体"/>
                <w:sz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59" w:hRule="exact"/>
          <w:jc w:val="center"/>
        </w:trPr>
        <w:tc>
          <w:tcPr>
            <w:tcW w:w="1611" w:type="dxa"/>
            <w:shd w:val="clear" w:color="auto" w:fill="auto"/>
            <w:vAlign w:val="center"/>
          </w:tcPr>
          <w:p>
            <w:pPr>
              <w:spacing w:line="240" w:lineRule="auto"/>
              <w:jc w:val="center"/>
              <w:rPr>
                <w:rFonts w:ascii="宋体" w:hAnsi="宋体" w:cs="黑体"/>
                <w:sz w:val="18"/>
              </w:rPr>
            </w:pPr>
          </w:p>
        </w:tc>
        <w:tc>
          <w:tcPr>
            <w:tcW w:w="1566" w:type="dxa"/>
            <w:gridSpan w:val="2"/>
            <w:shd w:val="clear" w:color="auto" w:fill="auto"/>
            <w:vAlign w:val="center"/>
          </w:tcPr>
          <w:p>
            <w:pPr>
              <w:spacing w:line="240" w:lineRule="auto"/>
              <w:jc w:val="center"/>
              <w:rPr>
                <w:rFonts w:ascii="宋体" w:hAnsi="宋体" w:cs="黑体"/>
                <w:sz w:val="18"/>
              </w:rPr>
            </w:pPr>
          </w:p>
        </w:tc>
        <w:tc>
          <w:tcPr>
            <w:tcW w:w="1568" w:type="dxa"/>
            <w:shd w:val="clear" w:color="auto" w:fill="auto"/>
            <w:vAlign w:val="center"/>
          </w:tcPr>
          <w:p>
            <w:pPr>
              <w:spacing w:line="240" w:lineRule="auto"/>
              <w:jc w:val="center"/>
              <w:rPr>
                <w:rFonts w:ascii="宋体" w:hAnsi="宋体" w:cs="黑体"/>
                <w:sz w:val="18"/>
              </w:rPr>
            </w:pPr>
          </w:p>
        </w:tc>
        <w:tc>
          <w:tcPr>
            <w:tcW w:w="2011" w:type="dxa"/>
            <w:gridSpan w:val="2"/>
            <w:shd w:val="clear" w:color="auto" w:fill="auto"/>
            <w:vAlign w:val="center"/>
          </w:tcPr>
          <w:p>
            <w:pPr>
              <w:spacing w:line="240" w:lineRule="auto"/>
              <w:jc w:val="center"/>
              <w:rPr>
                <w:rFonts w:ascii="宋体" w:hAnsi="宋体" w:cs="黑体"/>
                <w:sz w:val="18"/>
              </w:rPr>
            </w:pPr>
          </w:p>
        </w:tc>
        <w:tc>
          <w:tcPr>
            <w:tcW w:w="2861" w:type="dxa"/>
            <w:gridSpan w:val="2"/>
            <w:shd w:val="clear" w:color="auto" w:fill="auto"/>
            <w:vAlign w:val="center"/>
          </w:tcPr>
          <w:p>
            <w:pPr>
              <w:spacing w:line="240" w:lineRule="auto"/>
              <w:jc w:val="center"/>
              <w:rPr>
                <w:rFonts w:ascii="宋体" w:hAnsi="宋体" w:cs="黑体"/>
                <w:sz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59" w:hRule="exact"/>
          <w:jc w:val="center"/>
        </w:trPr>
        <w:tc>
          <w:tcPr>
            <w:tcW w:w="1611" w:type="dxa"/>
            <w:shd w:val="clear" w:color="auto" w:fill="auto"/>
            <w:vAlign w:val="center"/>
          </w:tcPr>
          <w:p>
            <w:pPr>
              <w:spacing w:line="240" w:lineRule="auto"/>
              <w:jc w:val="center"/>
              <w:rPr>
                <w:rFonts w:ascii="宋体" w:hAnsi="宋体" w:cs="黑体"/>
                <w:sz w:val="18"/>
              </w:rPr>
            </w:pPr>
          </w:p>
        </w:tc>
        <w:tc>
          <w:tcPr>
            <w:tcW w:w="1566" w:type="dxa"/>
            <w:gridSpan w:val="2"/>
            <w:shd w:val="clear" w:color="auto" w:fill="auto"/>
            <w:vAlign w:val="center"/>
          </w:tcPr>
          <w:p>
            <w:pPr>
              <w:spacing w:line="240" w:lineRule="auto"/>
              <w:jc w:val="center"/>
              <w:rPr>
                <w:rFonts w:ascii="宋体" w:hAnsi="宋体" w:cs="黑体"/>
                <w:sz w:val="18"/>
              </w:rPr>
            </w:pPr>
          </w:p>
        </w:tc>
        <w:tc>
          <w:tcPr>
            <w:tcW w:w="1568" w:type="dxa"/>
            <w:shd w:val="clear" w:color="auto" w:fill="auto"/>
            <w:vAlign w:val="center"/>
          </w:tcPr>
          <w:p>
            <w:pPr>
              <w:spacing w:line="240" w:lineRule="auto"/>
              <w:jc w:val="center"/>
              <w:rPr>
                <w:rFonts w:ascii="宋体" w:hAnsi="宋体" w:cs="黑体"/>
                <w:sz w:val="18"/>
              </w:rPr>
            </w:pPr>
          </w:p>
        </w:tc>
        <w:tc>
          <w:tcPr>
            <w:tcW w:w="2011" w:type="dxa"/>
            <w:gridSpan w:val="2"/>
            <w:shd w:val="clear" w:color="auto" w:fill="auto"/>
            <w:vAlign w:val="center"/>
          </w:tcPr>
          <w:p>
            <w:pPr>
              <w:spacing w:line="240" w:lineRule="auto"/>
              <w:jc w:val="center"/>
              <w:rPr>
                <w:rFonts w:ascii="宋体" w:hAnsi="宋体" w:cs="黑体"/>
                <w:sz w:val="18"/>
              </w:rPr>
            </w:pPr>
          </w:p>
        </w:tc>
        <w:tc>
          <w:tcPr>
            <w:tcW w:w="2861" w:type="dxa"/>
            <w:gridSpan w:val="2"/>
            <w:shd w:val="clear" w:color="auto" w:fill="auto"/>
            <w:vAlign w:val="center"/>
          </w:tcPr>
          <w:p>
            <w:pPr>
              <w:spacing w:line="240" w:lineRule="auto"/>
              <w:jc w:val="center"/>
              <w:rPr>
                <w:rFonts w:ascii="宋体" w:hAnsi="宋体" w:cs="黑体"/>
                <w:sz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59" w:hRule="exact"/>
          <w:jc w:val="center"/>
        </w:trPr>
        <w:tc>
          <w:tcPr>
            <w:tcW w:w="1611" w:type="dxa"/>
            <w:shd w:val="clear" w:color="auto" w:fill="auto"/>
            <w:vAlign w:val="center"/>
          </w:tcPr>
          <w:p>
            <w:pPr>
              <w:spacing w:line="240" w:lineRule="auto"/>
              <w:jc w:val="center"/>
              <w:rPr>
                <w:rFonts w:ascii="宋体" w:hAnsi="宋体" w:cs="黑体"/>
                <w:sz w:val="18"/>
              </w:rPr>
            </w:pPr>
          </w:p>
        </w:tc>
        <w:tc>
          <w:tcPr>
            <w:tcW w:w="1566" w:type="dxa"/>
            <w:gridSpan w:val="2"/>
            <w:shd w:val="clear" w:color="auto" w:fill="auto"/>
            <w:vAlign w:val="center"/>
          </w:tcPr>
          <w:p>
            <w:pPr>
              <w:spacing w:line="240" w:lineRule="auto"/>
              <w:jc w:val="center"/>
              <w:rPr>
                <w:rFonts w:ascii="宋体" w:hAnsi="宋体" w:cs="黑体"/>
                <w:sz w:val="18"/>
              </w:rPr>
            </w:pPr>
          </w:p>
        </w:tc>
        <w:tc>
          <w:tcPr>
            <w:tcW w:w="1568" w:type="dxa"/>
            <w:shd w:val="clear" w:color="auto" w:fill="auto"/>
            <w:vAlign w:val="center"/>
          </w:tcPr>
          <w:p>
            <w:pPr>
              <w:spacing w:line="240" w:lineRule="auto"/>
              <w:jc w:val="center"/>
              <w:rPr>
                <w:rFonts w:ascii="宋体" w:hAnsi="宋体" w:cs="黑体"/>
                <w:sz w:val="18"/>
              </w:rPr>
            </w:pPr>
          </w:p>
        </w:tc>
        <w:tc>
          <w:tcPr>
            <w:tcW w:w="2011" w:type="dxa"/>
            <w:gridSpan w:val="2"/>
            <w:shd w:val="clear" w:color="auto" w:fill="auto"/>
            <w:vAlign w:val="center"/>
          </w:tcPr>
          <w:p>
            <w:pPr>
              <w:spacing w:line="240" w:lineRule="auto"/>
              <w:jc w:val="center"/>
              <w:rPr>
                <w:rFonts w:ascii="宋体" w:hAnsi="宋体" w:cs="黑体"/>
                <w:sz w:val="18"/>
              </w:rPr>
            </w:pPr>
          </w:p>
        </w:tc>
        <w:tc>
          <w:tcPr>
            <w:tcW w:w="2861" w:type="dxa"/>
            <w:gridSpan w:val="2"/>
            <w:shd w:val="clear" w:color="auto" w:fill="auto"/>
            <w:vAlign w:val="center"/>
          </w:tcPr>
          <w:p>
            <w:pPr>
              <w:spacing w:line="240" w:lineRule="auto"/>
              <w:jc w:val="center"/>
              <w:rPr>
                <w:rFonts w:ascii="宋体" w:hAnsi="宋体" w:cs="黑体"/>
                <w:sz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59" w:hRule="exact"/>
          <w:jc w:val="center"/>
        </w:trPr>
        <w:tc>
          <w:tcPr>
            <w:tcW w:w="9617" w:type="dxa"/>
            <w:gridSpan w:val="8"/>
            <w:shd w:val="clear" w:color="auto" w:fill="auto"/>
            <w:vAlign w:val="center"/>
          </w:tcPr>
          <w:p>
            <w:pPr>
              <w:spacing w:line="240" w:lineRule="auto"/>
              <w:rPr>
                <w:rFonts w:ascii="宋体" w:hAnsi="宋体" w:cs="黑体"/>
                <w:sz w:val="18"/>
              </w:rPr>
            </w:pPr>
            <w:r>
              <w:rPr>
                <w:rFonts w:hint="eastAsia" w:ascii="宋体" w:hAnsi="宋体" w:cs="黑体"/>
                <w:sz w:val="18"/>
              </w:rPr>
              <w:t>三、其他投入品使用情况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59" w:hRule="exact"/>
          <w:jc w:val="center"/>
        </w:trPr>
        <w:tc>
          <w:tcPr>
            <w:tcW w:w="1611" w:type="dxa"/>
            <w:shd w:val="clear" w:color="auto" w:fill="auto"/>
            <w:vAlign w:val="center"/>
          </w:tcPr>
          <w:p>
            <w:pPr>
              <w:spacing w:line="240" w:lineRule="auto"/>
              <w:jc w:val="center"/>
              <w:rPr>
                <w:rFonts w:ascii="宋体" w:hAnsi="宋体" w:cs="黑体"/>
                <w:sz w:val="18"/>
              </w:rPr>
            </w:pPr>
            <w:r>
              <w:rPr>
                <w:rFonts w:hint="eastAsia" w:ascii="宋体" w:hAnsi="宋体" w:cs="黑体"/>
                <w:sz w:val="18"/>
              </w:rPr>
              <w:t>使用时间</w:t>
            </w:r>
          </w:p>
        </w:tc>
        <w:tc>
          <w:tcPr>
            <w:tcW w:w="1566" w:type="dxa"/>
            <w:gridSpan w:val="2"/>
            <w:shd w:val="clear" w:color="auto" w:fill="auto"/>
            <w:vAlign w:val="center"/>
          </w:tcPr>
          <w:p>
            <w:pPr>
              <w:spacing w:line="240" w:lineRule="auto"/>
              <w:jc w:val="center"/>
              <w:rPr>
                <w:rFonts w:ascii="宋体" w:hAnsi="宋体" w:cs="黑体"/>
                <w:sz w:val="18"/>
              </w:rPr>
            </w:pPr>
            <w:r>
              <w:rPr>
                <w:rFonts w:hint="eastAsia" w:ascii="宋体" w:hAnsi="宋体" w:cs="黑体"/>
                <w:sz w:val="18"/>
              </w:rPr>
              <w:t>投入品名称</w:t>
            </w:r>
          </w:p>
        </w:tc>
        <w:tc>
          <w:tcPr>
            <w:tcW w:w="1568" w:type="dxa"/>
            <w:shd w:val="clear" w:color="auto" w:fill="auto"/>
            <w:vAlign w:val="center"/>
          </w:tcPr>
          <w:p>
            <w:pPr>
              <w:spacing w:line="240" w:lineRule="auto"/>
              <w:jc w:val="center"/>
              <w:rPr>
                <w:rFonts w:ascii="宋体" w:hAnsi="宋体" w:cs="黑体"/>
                <w:sz w:val="18"/>
              </w:rPr>
            </w:pPr>
            <w:r>
              <w:rPr>
                <w:rFonts w:hint="eastAsia" w:ascii="宋体" w:hAnsi="宋体" w:cs="黑体"/>
                <w:sz w:val="18"/>
              </w:rPr>
              <w:t>使用目的</w:t>
            </w:r>
          </w:p>
        </w:tc>
        <w:tc>
          <w:tcPr>
            <w:tcW w:w="1082" w:type="dxa"/>
            <w:shd w:val="clear" w:color="auto" w:fill="auto"/>
            <w:vAlign w:val="center"/>
          </w:tcPr>
          <w:p>
            <w:pPr>
              <w:spacing w:line="240" w:lineRule="auto"/>
              <w:jc w:val="center"/>
              <w:rPr>
                <w:rFonts w:ascii="宋体" w:hAnsi="宋体" w:cs="黑体"/>
                <w:sz w:val="18"/>
              </w:rPr>
            </w:pPr>
            <w:r>
              <w:rPr>
                <w:rFonts w:hint="eastAsia" w:ascii="宋体" w:hAnsi="宋体" w:cs="黑体"/>
                <w:sz w:val="18"/>
              </w:rPr>
              <w:t>使用方法</w:t>
            </w:r>
          </w:p>
        </w:tc>
        <w:tc>
          <w:tcPr>
            <w:tcW w:w="929" w:type="dxa"/>
            <w:shd w:val="clear" w:color="auto" w:fill="auto"/>
            <w:vAlign w:val="center"/>
          </w:tcPr>
          <w:p>
            <w:pPr>
              <w:spacing w:line="240" w:lineRule="auto"/>
              <w:jc w:val="center"/>
              <w:rPr>
                <w:rFonts w:ascii="宋体" w:hAnsi="宋体" w:cs="黑体"/>
                <w:sz w:val="18"/>
              </w:rPr>
            </w:pPr>
            <w:r>
              <w:rPr>
                <w:rFonts w:hint="eastAsia" w:ascii="宋体" w:hAnsi="宋体" w:cs="黑体"/>
                <w:sz w:val="18"/>
              </w:rPr>
              <w:t>使用量</w:t>
            </w:r>
          </w:p>
        </w:tc>
        <w:tc>
          <w:tcPr>
            <w:tcW w:w="2861" w:type="dxa"/>
            <w:gridSpan w:val="2"/>
            <w:shd w:val="clear" w:color="auto" w:fill="auto"/>
            <w:vAlign w:val="center"/>
          </w:tcPr>
          <w:p>
            <w:pPr>
              <w:spacing w:line="240" w:lineRule="auto"/>
              <w:jc w:val="center"/>
              <w:rPr>
                <w:rFonts w:ascii="宋体" w:hAnsi="宋体" w:cs="黑体"/>
                <w:sz w:val="18"/>
              </w:rPr>
            </w:pPr>
            <w:r>
              <w:rPr>
                <w:rFonts w:hint="eastAsia" w:ascii="宋体" w:hAnsi="宋体" w:cs="黑体"/>
                <w:sz w:val="18"/>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59" w:hRule="exact"/>
          <w:jc w:val="center"/>
        </w:trPr>
        <w:tc>
          <w:tcPr>
            <w:tcW w:w="1611" w:type="dxa"/>
            <w:shd w:val="clear" w:color="auto" w:fill="auto"/>
            <w:vAlign w:val="center"/>
          </w:tcPr>
          <w:p>
            <w:pPr>
              <w:spacing w:line="240" w:lineRule="auto"/>
              <w:jc w:val="center"/>
              <w:rPr>
                <w:rFonts w:ascii="宋体" w:hAnsi="宋体" w:cs="黑体"/>
                <w:sz w:val="18"/>
              </w:rPr>
            </w:pPr>
          </w:p>
        </w:tc>
        <w:tc>
          <w:tcPr>
            <w:tcW w:w="1566" w:type="dxa"/>
            <w:gridSpan w:val="2"/>
            <w:shd w:val="clear" w:color="auto" w:fill="auto"/>
            <w:vAlign w:val="center"/>
          </w:tcPr>
          <w:p>
            <w:pPr>
              <w:spacing w:line="240" w:lineRule="auto"/>
              <w:jc w:val="center"/>
              <w:rPr>
                <w:rFonts w:ascii="宋体" w:hAnsi="宋体" w:cs="黑体"/>
                <w:sz w:val="18"/>
              </w:rPr>
            </w:pPr>
          </w:p>
        </w:tc>
        <w:tc>
          <w:tcPr>
            <w:tcW w:w="1568" w:type="dxa"/>
            <w:shd w:val="clear" w:color="auto" w:fill="auto"/>
            <w:vAlign w:val="center"/>
          </w:tcPr>
          <w:p>
            <w:pPr>
              <w:spacing w:line="240" w:lineRule="auto"/>
              <w:jc w:val="center"/>
              <w:rPr>
                <w:rFonts w:ascii="宋体" w:hAnsi="宋体" w:cs="黑体"/>
                <w:sz w:val="18"/>
              </w:rPr>
            </w:pPr>
          </w:p>
        </w:tc>
        <w:tc>
          <w:tcPr>
            <w:tcW w:w="1082" w:type="dxa"/>
            <w:shd w:val="clear" w:color="auto" w:fill="auto"/>
            <w:vAlign w:val="center"/>
          </w:tcPr>
          <w:p>
            <w:pPr>
              <w:spacing w:line="240" w:lineRule="auto"/>
              <w:jc w:val="center"/>
              <w:rPr>
                <w:rFonts w:ascii="宋体" w:hAnsi="宋体" w:cs="黑体"/>
                <w:sz w:val="18"/>
              </w:rPr>
            </w:pPr>
          </w:p>
        </w:tc>
        <w:tc>
          <w:tcPr>
            <w:tcW w:w="929" w:type="dxa"/>
            <w:shd w:val="clear" w:color="auto" w:fill="auto"/>
            <w:vAlign w:val="center"/>
          </w:tcPr>
          <w:p>
            <w:pPr>
              <w:spacing w:line="240" w:lineRule="auto"/>
              <w:jc w:val="center"/>
              <w:rPr>
                <w:rFonts w:ascii="宋体" w:hAnsi="宋体" w:cs="黑体"/>
                <w:sz w:val="18"/>
              </w:rPr>
            </w:pPr>
          </w:p>
        </w:tc>
        <w:tc>
          <w:tcPr>
            <w:tcW w:w="2861" w:type="dxa"/>
            <w:gridSpan w:val="2"/>
            <w:shd w:val="clear" w:color="auto" w:fill="auto"/>
            <w:vAlign w:val="center"/>
          </w:tcPr>
          <w:p>
            <w:pPr>
              <w:spacing w:line="240" w:lineRule="auto"/>
              <w:jc w:val="center"/>
              <w:rPr>
                <w:rFonts w:ascii="宋体" w:hAnsi="宋体" w:cs="黑体"/>
                <w:sz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59" w:hRule="exact"/>
          <w:jc w:val="center"/>
        </w:trPr>
        <w:tc>
          <w:tcPr>
            <w:tcW w:w="1611" w:type="dxa"/>
            <w:shd w:val="clear" w:color="auto" w:fill="auto"/>
            <w:vAlign w:val="center"/>
          </w:tcPr>
          <w:p>
            <w:pPr>
              <w:spacing w:line="240" w:lineRule="auto"/>
              <w:jc w:val="center"/>
              <w:rPr>
                <w:rFonts w:ascii="宋体" w:hAnsi="宋体" w:cs="黑体"/>
                <w:sz w:val="18"/>
              </w:rPr>
            </w:pPr>
          </w:p>
        </w:tc>
        <w:tc>
          <w:tcPr>
            <w:tcW w:w="1566" w:type="dxa"/>
            <w:gridSpan w:val="2"/>
            <w:shd w:val="clear" w:color="auto" w:fill="auto"/>
            <w:vAlign w:val="center"/>
          </w:tcPr>
          <w:p>
            <w:pPr>
              <w:spacing w:line="240" w:lineRule="auto"/>
              <w:jc w:val="center"/>
              <w:rPr>
                <w:rFonts w:ascii="宋体" w:hAnsi="宋体" w:cs="黑体"/>
                <w:sz w:val="18"/>
              </w:rPr>
            </w:pPr>
          </w:p>
        </w:tc>
        <w:tc>
          <w:tcPr>
            <w:tcW w:w="1568" w:type="dxa"/>
            <w:shd w:val="clear" w:color="auto" w:fill="auto"/>
            <w:vAlign w:val="center"/>
          </w:tcPr>
          <w:p>
            <w:pPr>
              <w:spacing w:line="240" w:lineRule="auto"/>
              <w:jc w:val="center"/>
              <w:rPr>
                <w:rFonts w:ascii="宋体" w:hAnsi="宋体" w:cs="黑体"/>
                <w:sz w:val="18"/>
              </w:rPr>
            </w:pPr>
          </w:p>
        </w:tc>
        <w:tc>
          <w:tcPr>
            <w:tcW w:w="1082" w:type="dxa"/>
            <w:shd w:val="clear" w:color="auto" w:fill="auto"/>
            <w:vAlign w:val="center"/>
          </w:tcPr>
          <w:p>
            <w:pPr>
              <w:spacing w:line="240" w:lineRule="auto"/>
              <w:jc w:val="center"/>
              <w:rPr>
                <w:rFonts w:ascii="宋体" w:hAnsi="宋体" w:cs="黑体"/>
                <w:sz w:val="18"/>
              </w:rPr>
            </w:pPr>
          </w:p>
        </w:tc>
        <w:tc>
          <w:tcPr>
            <w:tcW w:w="929" w:type="dxa"/>
            <w:shd w:val="clear" w:color="auto" w:fill="auto"/>
            <w:vAlign w:val="center"/>
          </w:tcPr>
          <w:p>
            <w:pPr>
              <w:spacing w:line="240" w:lineRule="auto"/>
              <w:jc w:val="center"/>
              <w:rPr>
                <w:rFonts w:ascii="宋体" w:hAnsi="宋体" w:cs="黑体"/>
                <w:sz w:val="18"/>
              </w:rPr>
            </w:pPr>
          </w:p>
        </w:tc>
        <w:tc>
          <w:tcPr>
            <w:tcW w:w="2861" w:type="dxa"/>
            <w:gridSpan w:val="2"/>
            <w:shd w:val="clear" w:color="auto" w:fill="auto"/>
            <w:vAlign w:val="center"/>
          </w:tcPr>
          <w:p>
            <w:pPr>
              <w:spacing w:line="240" w:lineRule="auto"/>
              <w:jc w:val="center"/>
              <w:rPr>
                <w:rFonts w:ascii="宋体" w:hAnsi="宋体" w:cs="黑体"/>
                <w:sz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59" w:hRule="exact"/>
          <w:jc w:val="center"/>
        </w:trPr>
        <w:tc>
          <w:tcPr>
            <w:tcW w:w="1611" w:type="dxa"/>
            <w:shd w:val="clear" w:color="auto" w:fill="auto"/>
            <w:vAlign w:val="center"/>
          </w:tcPr>
          <w:p>
            <w:pPr>
              <w:spacing w:line="240" w:lineRule="auto"/>
              <w:jc w:val="center"/>
              <w:rPr>
                <w:rFonts w:ascii="宋体" w:hAnsi="宋体" w:cs="黑体"/>
                <w:sz w:val="18"/>
              </w:rPr>
            </w:pPr>
          </w:p>
        </w:tc>
        <w:tc>
          <w:tcPr>
            <w:tcW w:w="1566" w:type="dxa"/>
            <w:gridSpan w:val="2"/>
            <w:shd w:val="clear" w:color="auto" w:fill="auto"/>
            <w:vAlign w:val="center"/>
          </w:tcPr>
          <w:p>
            <w:pPr>
              <w:spacing w:line="240" w:lineRule="auto"/>
              <w:jc w:val="center"/>
              <w:rPr>
                <w:rFonts w:ascii="宋体" w:hAnsi="宋体" w:cs="黑体"/>
                <w:sz w:val="18"/>
              </w:rPr>
            </w:pPr>
          </w:p>
        </w:tc>
        <w:tc>
          <w:tcPr>
            <w:tcW w:w="1568" w:type="dxa"/>
            <w:shd w:val="clear" w:color="auto" w:fill="auto"/>
            <w:vAlign w:val="center"/>
          </w:tcPr>
          <w:p>
            <w:pPr>
              <w:spacing w:line="240" w:lineRule="auto"/>
              <w:jc w:val="center"/>
              <w:rPr>
                <w:rFonts w:ascii="宋体" w:hAnsi="宋体" w:cs="黑体"/>
                <w:sz w:val="18"/>
              </w:rPr>
            </w:pPr>
          </w:p>
        </w:tc>
        <w:tc>
          <w:tcPr>
            <w:tcW w:w="1082" w:type="dxa"/>
            <w:shd w:val="clear" w:color="auto" w:fill="auto"/>
            <w:vAlign w:val="center"/>
          </w:tcPr>
          <w:p>
            <w:pPr>
              <w:spacing w:line="240" w:lineRule="auto"/>
              <w:jc w:val="center"/>
              <w:rPr>
                <w:rFonts w:ascii="宋体" w:hAnsi="宋体" w:cs="黑体"/>
                <w:sz w:val="18"/>
              </w:rPr>
            </w:pPr>
          </w:p>
        </w:tc>
        <w:tc>
          <w:tcPr>
            <w:tcW w:w="929" w:type="dxa"/>
            <w:shd w:val="clear" w:color="auto" w:fill="auto"/>
            <w:vAlign w:val="center"/>
          </w:tcPr>
          <w:p>
            <w:pPr>
              <w:spacing w:line="240" w:lineRule="auto"/>
              <w:jc w:val="center"/>
              <w:rPr>
                <w:rFonts w:ascii="宋体" w:hAnsi="宋体" w:cs="黑体"/>
                <w:sz w:val="18"/>
              </w:rPr>
            </w:pPr>
          </w:p>
        </w:tc>
        <w:tc>
          <w:tcPr>
            <w:tcW w:w="2861" w:type="dxa"/>
            <w:gridSpan w:val="2"/>
            <w:shd w:val="clear" w:color="auto" w:fill="auto"/>
            <w:vAlign w:val="center"/>
          </w:tcPr>
          <w:p>
            <w:pPr>
              <w:spacing w:line="240" w:lineRule="auto"/>
              <w:jc w:val="center"/>
              <w:rPr>
                <w:rFonts w:ascii="宋体" w:hAnsi="宋体" w:cs="黑体"/>
                <w:sz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59" w:hRule="exact"/>
          <w:jc w:val="center"/>
        </w:trPr>
        <w:tc>
          <w:tcPr>
            <w:tcW w:w="1611" w:type="dxa"/>
            <w:shd w:val="clear" w:color="auto" w:fill="auto"/>
            <w:vAlign w:val="center"/>
          </w:tcPr>
          <w:p>
            <w:pPr>
              <w:spacing w:line="240" w:lineRule="auto"/>
              <w:jc w:val="center"/>
              <w:rPr>
                <w:rFonts w:ascii="宋体" w:hAnsi="宋体" w:cs="黑体"/>
                <w:sz w:val="18"/>
              </w:rPr>
            </w:pPr>
          </w:p>
        </w:tc>
        <w:tc>
          <w:tcPr>
            <w:tcW w:w="1566" w:type="dxa"/>
            <w:gridSpan w:val="2"/>
            <w:shd w:val="clear" w:color="auto" w:fill="auto"/>
            <w:vAlign w:val="center"/>
          </w:tcPr>
          <w:p>
            <w:pPr>
              <w:spacing w:line="240" w:lineRule="auto"/>
              <w:jc w:val="center"/>
              <w:rPr>
                <w:rFonts w:ascii="宋体" w:hAnsi="宋体" w:cs="黑体"/>
                <w:sz w:val="18"/>
              </w:rPr>
            </w:pPr>
          </w:p>
        </w:tc>
        <w:tc>
          <w:tcPr>
            <w:tcW w:w="1568" w:type="dxa"/>
            <w:shd w:val="clear" w:color="auto" w:fill="auto"/>
            <w:vAlign w:val="center"/>
          </w:tcPr>
          <w:p>
            <w:pPr>
              <w:spacing w:line="240" w:lineRule="auto"/>
              <w:jc w:val="center"/>
              <w:rPr>
                <w:rFonts w:ascii="宋体" w:hAnsi="宋体" w:cs="黑体"/>
                <w:sz w:val="18"/>
              </w:rPr>
            </w:pPr>
          </w:p>
        </w:tc>
        <w:tc>
          <w:tcPr>
            <w:tcW w:w="1082" w:type="dxa"/>
            <w:shd w:val="clear" w:color="auto" w:fill="auto"/>
            <w:vAlign w:val="center"/>
          </w:tcPr>
          <w:p>
            <w:pPr>
              <w:spacing w:line="240" w:lineRule="auto"/>
              <w:jc w:val="center"/>
              <w:rPr>
                <w:rFonts w:ascii="宋体" w:hAnsi="宋体" w:cs="黑体"/>
                <w:sz w:val="18"/>
              </w:rPr>
            </w:pPr>
          </w:p>
        </w:tc>
        <w:tc>
          <w:tcPr>
            <w:tcW w:w="929" w:type="dxa"/>
            <w:shd w:val="clear" w:color="auto" w:fill="auto"/>
            <w:vAlign w:val="center"/>
          </w:tcPr>
          <w:p>
            <w:pPr>
              <w:spacing w:line="240" w:lineRule="auto"/>
              <w:jc w:val="center"/>
              <w:rPr>
                <w:rFonts w:ascii="宋体" w:hAnsi="宋体" w:cs="黑体"/>
                <w:sz w:val="18"/>
              </w:rPr>
            </w:pPr>
          </w:p>
        </w:tc>
        <w:tc>
          <w:tcPr>
            <w:tcW w:w="2861" w:type="dxa"/>
            <w:gridSpan w:val="2"/>
            <w:shd w:val="clear" w:color="auto" w:fill="auto"/>
            <w:vAlign w:val="center"/>
          </w:tcPr>
          <w:p>
            <w:pPr>
              <w:spacing w:line="240" w:lineRule="auto"/>
              <w:jc w:val="center"/>
              <w:rPr>
                <w:rFonts w:ascii="宋体" w:hAnsi="宋体" w:cs="黑体"/>
                <w:sz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59" w:hRule="exact"/>
          <w:jc w:val="center"/>
        </w:trPr>
        <w:tc>
          <w:tcPr>
            <w:tcW w:w="1611" w:type="dxa"/>
            <w:shd w:val="clear" w:color="auto" w:fill="auto"/>
            <w:vAlign w:val="center"/>
          </w:tcPr>
          <w:p>
            <w:pPr>
              <w:spacing w:line="240" w:lineRule="auto"/>
              <w:jc w:val="center"/>
              <w:rPr>
                <w:rFonts w:ascii="宋体" w:hAnsi="宋体" w:cs="黑体"/>
                <w:sz w:val="18"/>
              </w:rPr>
            </w:pPr>
          </w:p>
        </w:tc>
        <w:tc>
          <w:tcPr>
            <w:tcW w:w="1566" w:type="dxa"/>
            <w:gridSpan w:val="2"/>
            <w:shd w:val="clear" w:color="auto" w:fill="auto"/>
            <w:vAlign w:val="center"/>
          </w:tcPr>
          <w:p>
            <w:pPr>
              <w:spacing w:line="240" w:lineRule="auto"/>
              <w:jc w:val="center"/>
              <w:rPr>
                <w:rFonts w:ascii="宋体" w:hAnsi="宋体" w:cs="黑体"/>
                <w:sz w:val="18"/>
              </w:rPr>
            </w:pPr>
          </w:p>
        </w:tc>
        <w:tc>
          <w:tcPr>
            <w:tcW w:w="1568" w:type="dxa"/>
            <w:shd w:val="clear" w:color="auto" w:fill="auto"/>
            <w:vAlign w:val="center"/>
          </w:tcPr>
          <w:p>
            <w:pPr>
              <w:spacing w:line="240" w:lineRule="auto"/>
              <w:jc w:val="center"/>
              <w:rPr>
                <w:rFonts w:ascii="宋体" w:hAnsi="宋体" w:cs="黑体"/>
                <w:sz w:val="18"/>
              </w:rPr>
            </w:pPr>
          </w:p>
        </w:tc>
        <w:tc>
          <w:tcPr>
            <w:tcW w:w="1082" w:type="dxa"/>
            <w:shd w:val="clear" w:color="auto" w:fill="auto"/>
            <w:vAlign w:val="center"/>
          </w:tcPr>
          <w:p>
            <w:pPr>
              <w:spacing w:line="240" w:lineRule="auto"/>
              <w:jc w:val="center"/>
              <w:rPr>
                <w:rFonts w:ascii="宋体" w:hAnsi="宋体" w:cs="黑体"/>
                <w:sz w:val="18"/>
              </w:rPr>
            </w:pPr>
          </w:p>
        </w:tc>
        <w:tc>
          <w:tcPr>
            <w:tcW w:w="929" w:type="dxa"/>
            <w:shd w:val="clear" w:color="auto" w:fill="auto"/>
            <w:vAlign w:val="center"/>
          </w:tcPr>
          <w:p>
            <w:pPr>
              <w:spacing w:line="240" w:lineRule="auto"/>
              <w:jc w:val="center"/>
              <w:rPr>
                <w:rFonts w:ascii="宋体" w:hAnsi="宋体" w:cs="黑体"/>
                <w:sz w:val="18"/>
              </w:rPr>
            </w:pPr>
          </w:p>
        </w:tc>
        <w:tc>
          <w:tcPr>
            <w:tcW w:w="2861" w:type="dxa"/>
            <w:gridSpan w:val="2"/>
            <w:shd w:val="clear" w:color="auto" w:fill="auto"/>
            <w:vAlign w:val="center"/>
          </w:tcPr>
          <w:p>
            <w:pPr>
              <w:spacing w:line="240" w:lineRule="auto"/>
              <w:jc w:val="center"/>
              <w:rPr>
                <w:rFonts w:ascii="宋体" w:hAnsi="宋体" w:cs="黑体"/>
                <w:sz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9" w:hRule="exact"/>
          <w:jc w:val="center"/>
        </w:trPr>
        <w:tc>
          <w:tcPr>
            <w:tcW w:w="1611" w:type="dxa"/>
            <w:shd w:val="clear" w:color="auto" w:fill="auto"/>
            <w:vAlign w:val="center"/>
          </w:tcPr>
          <w:p>
            <w:pPr>
              <w:spacing w:line="240" w:lineRule="auto"/>
              <w:jc w:val="center"/>
              <w:rPr>
                <w:rFonts w:ascii="宋体" w:hAnsi="宋体" w:cs="黑体"/>
                <w:sz w:val="18"/>
              </w:rPr>
            </w:pPr>
          </w:p>
        </w:tc>
        <w:tc>
          <w:tcPr>
            <w:tcW w:w="1566" w:type="dxa"/>
            <w:gridSpan w:val="2"/>
            <w:shd w:val="clear" w:color="auto" w:fill="auto"/>
            <w:vAlign w:val="center"/>
          </w:tcPr>
          <w:p>
            <w:pPr>
              <w:spacing w:line="240" w:lineRule="auto"/>
              <w:jc w:val="center"/>
              <w:rPr>
                <w:rFonts w:ascii="宋体" w:hAnsi="宋体" w:cs="黑体"/>
                <w:sz w:val="18"/>
              </w:rPr>
            </w:pPr>
          </w:p>
        </w:tc>
        <w:tc>
          <w:tcPr>
            <w:tcW w:w="1568" w:type="dxa"/>
            <w:shd w:val="clear" w:color="auto" w:fill="auto"/>
            <w:vAlign w:val="center"/>
          </w:tcPr>
          <w:p>
            <w:pPr>
              <w:spacing w:line="240" w:lineRule="auto"/>
              <w:jc w:val="center"/>
              <w:rPr>
                <w:rFonts w:ascii="宋体" w:hAnsi="宋体" w:cs="黑体"/>
                <w:sz w:val="18"/>
              </w:rPr>
            </w:pPr>
          </w:p>
        </w:tc>
        <w:tc>
          <w:tcPr>
            <w:tcW w:w="1082" w:type="dxa"/>
            <w:shd w:val="clear" w:color="auto" w:fill="auto"/>
            <w:vAlign w:val="center"/>
          </w:tcPr>
          <w:p>
            <w:pPr>
              <w:spacing w:line="240" w:lineRule="auto"/>
              <w:jc w:val="center"/>
              <w:rPr>
                <w:rFonts w:ascii="宋体" w:hAnsi="宋体" w:cs="黑体"/>
                <w:sz w:val="18"/>
              </w:rPr>
            </w:pPr>
          </w:p>
        </w:tc>
        <w:tc>
          <w:tcPr>
            <w:tcW w:w="929" w:type="dxa"/>
            <w:shd w:val="clear" w:color="auto" w:fill="auto"/>
            <w:vAlign w:val="center"/>
          </w:tcPr>
          <w:p>
            <w:pPr>
              <w:spacing w:line="240" w:lineRule="auto"/>
              <w:jc w:val="center"/>
              <w:rPr>
                <w:rFonts w:ascii="宋体" w:hAnsi="宋体" w:cs="黑体"/>
                <w:sz w:val="18"/>
              </w:rPr>
            </w:pPr>
          </w:p>
        </w:tc>
        <w:tc>
          <w:tcPr>
            <w:tcW w:w="2861" w:type="dxa"/>
            <w:gridSpan w:val="2"/>
            <w:shd w:val="clear" w:color="auto" w:fill="auto"/>
            <w:vAlign w:val="center"/>
          </w:tcPr>
          <w:p>
            <w:pPr>
              <w:spacing w:line="240" w:lineRule="auto"/>
              <w:jc w:val="center"/>
              <w:rPr>
                <w:rFonts w:ascii="宋体" w:hAnsi="宋体" w:cs="黑体"/>
                <w:sz w:val="18"/>
              </w:rPr>
            </w:pPr>
          </w:p>
        </w:tc>
      </w:tr>
      <w:bookmarkEnd w:id="67"/>
    </w:tbl>
    <w:p>
      <w:pPr>
        <w:pStyle w:val="56"/>
        <w:ind w:firstLine="0" w:firstLineChars="0"/>
        <w:jc w:val="center"/>
      </w:pPr>
      <w:bookmarkStart w:id="70" w:name="BookMark8"/>
      <w:r>
        <w:drawing>
          <wp:inline distT="0" distB="0" distL="0" distR="0">
            <wp:extent cx="1485900" cy="317500"/>
            <wp:effectExtent l="0" t="0" r="0" b="6350"/>
            <wp:docPr id="419878710" name="图片 1"/>
            <wp:cNvGraphicFramePr/>
            <a:graphic xmlns:a="http://schemas.openxmlformats.org/drawingml/2006/main">
              <a:graphicData uri="http://schemas.openxmlformats.org/drawingml/2006/picture">
                <pic:pic xmlns:pic="http://schemas.openxmlformats.org/drawingml/2006/picture">
                  <pic:nvPicPr>
                    <pic:cNvPr id="419878710" name="图片 1"/>
                    <pic:cNvPicPr/>
                  </pic:nvPicPr>
                  <pic:blipFill>
                    <a:blip r:embed="rId16">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70"/>
    </w:p>
    <w:sectPr>
      <w:pgSz w:w="11906" w:h="16838"/>
      <w:pgMar w:top="1871"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 14/T 1288—2024</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pPr>
    <w:r>
      <w:fldChar w:fldCharType="begin"/>
    </w:r>
    <w:r>
      <w:instrText xml:space="preserve"> STYLEREF  标准文件_文件编号  \* MERGEFORMAT </w:instrText>
    </w:r>
    <w:r>
      <w:fldChar w:fldCharType="separate"/>
    </w:r>
    <w:r>
      <w:t>DB 14/T 1288—2024</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1FC91163"/>
    <w:multiLevelType w:val="multilevel"/>
    <w:tmpl w:val="1FC91163"/>
    <w:lvl w:ilvl="0" w:tentative="0">
      <w:start w:val="1"/>
      <w:numFmt w:val="decimal"/>
      <w:pStyle w:val="232"/>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34"/>
      <w:suff w:val="nothing"/>
      <w:lvlText w:val="%1.%2　"/>
      <w:lvlJc w:val="left"/>
      <w:pPr>
        <w:ind w:left="0"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233"/>
      <w:suff w:val="nothing"/>
      <w:lvlText w:val="%1.%2.%3　"/>
      <w:lvlJc w:val="left"/>
      <w:pPr>
        <w:ind w:left="0" w:firstLine="0"/>
      </w:pPr>
      <w:rPr>
        <w:rFonts w:hint="eastAsia" w:ascii="黑体" w:hAnsi="Times New Roman" w:eastAsia="黑体"/>
        <w:b w:val="0"/>
        <w:i w:val="0"/>
        <w:sz w:val="21"/>
      </w:rPr>
    </w:lvl>
    <w:lvl w:ilvl="3" w:tentative="0">
      <w:start w:val="1"/>
      <w:numFmt w:val="decimal"/>
      <w:pStyle w:val="237"/>
      <w:suff w:val="nothing"/>
      <w:lvlText w:val="%1.%2.%3.%4　"/>
      <w:lvlJc w:val="left"/>
      <w:pPr>
        <w:ind w:left="0" w:firstLine="0"/>
      </w:pPr>
      <w:rPr>
        <w:rFonts w:hint="eastAsia" w:ascii="黑体" w:hAnsi="Times New Roman" w:eastAsia="黑体"/>
        <w:b w:val="0"/>
        <w:i w:val="0"/>
        <w:sz w:val="21"/>
      </w:rPr>
    </w:lvl>
    <w:lvl w:ilvl="4" w:tentative="0">
      <w:start w:val="1"/>
      <w:numFmt w:val="decimal"/>
      <w:pStyle w:val="236"/>
      <w:suff w:val="nothing"/>
      <w:lvlText w:val="%1.%2.%3.%4.%5　"/>
      <w:lvlJc w:val="left"/>
      <w:pPr>
        <w:ind w:left="0" w:firstLine="0"/>
      </w:pPr>
      <w:rPr>
        <w:rFonts w:hint="eastAsia" w:ascii="黑体" w:hAnsi="Times New Roman" w:eastAsia="黑体"/>
        <w:b w:val="0"/>
        <w:i w:val="0"/>
        <w:sz w:val="21"/>
      </w:rPr>
    </w:lvl>
    <w:lvl w:ilvl="5" w:tentative="0">
      <w:start w:val="1"/>
      <w:numFmt w:val="decimal"/>
      <w:pStyle w:val="235"/>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1">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2">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3">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5">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7">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8">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3">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4">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6">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1">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9"/>
  </w:num>
  <w:num w:numId="6">
    <w:abstractNumId w:val="14"/>
  </w:num>
  <w:num w:numId="7">
    <w:abstractNumId w:val="8"/>
  </w:num>
  <w:num w:numId="8">
    <w:abstractNumId w:val="3"/>
  </w:num>
  <w:num w:numId="9">
    <w:abstractNumId w:val="9"/>
  </w:num>
  <w:num w:numId="10">
    <w:abstractNumId w:val="17"/>
  </w:num>
  <w:num w:numId="11">
    <w:abstractNumId w:val="26"/>
  </w:num>
  <w:num w:numId="12">
    <w:abstractNumId w:val="12"/>
  </w:num>
  <w:num w:numId="13">
    <w:abstractNumId w:val="13"/>
  </w:num>
  <w:num w:numId="14">
    <w:abstractNumId w:val="7"/>
  </w:num>
  <w:num w:numId="15">
    <w:abstractNumId w:val="20"/>
  </w:num>
  <w:num w:numId="16">
    <w:abstractNumId w:val="22"/>
  </w:num>
  <w:num w:numId="17">
    <w:abstractNumId w:val="18"/>
  </w:num>
  <w:num w:numId="18">
    <w:abstractNumId w:val="30"/>
  </w:num>
  <w:num w:numId="19">
    <w:abstractNumId w:val="16"/>
  </w:num>
  <w:num w:numId="20">
    <w:abstractNumId w:val="1"/>
  </w:num>
  <w:num w:numId="21">
    <w:abstractNumId w:val="11"/>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5"/>
  </w:num>
  <w:num w:numId="30">
    <w:abstractNumId w:val="25"/>
  </w:num>
  <w:num w:numId="31">
    <w:abstractNumId w:val="23"/>
  </w:num>
  <w:num w:numId="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attachedTemplate r:id="rId1"/>
  <w:documentProtection w:edit="forms" w:enforcement="1" w:cryptProviderType="rsaAES" w:cryptAlgorithmClass="hash" w:cryptAlgorithmType="typeAny" w:cryptAlgorithmSid="14" w:cryptSpinCount="100000" w:hash="gXT9IdgwPDadtWMfz8d1vl9kw7F+MYO/czcb1eUojWovX9ebAGS92StqYzhkdkdNnr5c1w2/2FCMHzQTW1EE9g==" w:salt="DNdToFjFz0O2vgi3sMj7nQ=="/>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M2ZTJiYWMwODY3MWVmY2YwN2NiZTI3NDQ3MTJlZTkifQ=="/>
  </w:docVars>
  <w:rsids>
    <w:rsidRoot w:val="00A244FD"/>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4518"/>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2626"/>
    <w:rsid w:val="00704387"/>
    <w:rsid w:val="00707669"/>
    <w:rsid w:val="00711CBA"/>
    <w:rsid w:val="00711FB5"/>
    <w:rsid w:val="00712A01"/>
    <w:rsid w:val="00714F58"/>
    <w:rsid w:val="00722FBF"/>
    <w:rsid w:val="00722FC2"/>
    <w:rsid w:val="00724E1B"/>
    <w:rsid w:val="00725949"/>
    <w:rsid w:val="00727FA2"/>
    <w:rsid w:val="007322D9"/>
    <w:rsid w:val="00732BC0"/>
    <w:rsid w:val="007344B9"/>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244FD"/>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1CBA"/>
    <w:rsid w:val="00BF231C"/>
    <w:rsid w:val="00BF51E5"/>
    <w:rsid w:val="00BF74A6"/>
    <w:rsid w:val="00C013AD"/>
    <w:rsid w:val="00C04904"/>
    <w:rsid w:val="00C056B3"/>
    <w:rsid w:val="00C103E5"/>
    <w:rsid w:val="00C13319"/>
    <w:rsid w:val="00C13EE9"/>
    <w:rsid w:val="00C14FB3"/>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9CB6BCF"/>
    <w:rsid w:val="188478DC"/>
    <w:rsid w:val="1B520C21"/>
    <w:rsid w:val="28930FD0"/>
    <w:rsid w:val="493F0E52"/>
    <w:rsid w:val="50ED0815"/>
    <w:rsid w:val="651F2103"/>
    <w:rsid w:val="73A62BBC"/>
    <w:rsid w:val="7BBE62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nhideWhenUsed="0" w:uiPriority="0" w:name="table of figures"/>
    <w:lsdException w:uiPriority="99" w:name="envelope address"/>
    <w:lsdException w:uiPriority="99" w:name="envelope return"/>
    <w:lsdException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autoRedefine/>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autoRedefine/>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autoRedefine/>
    <w:qFormat/>
    <w:uiPriority w:val="0"/>
    <w:pPr>
      <w:keepNext/>
      <w:keepLines/>
      <w:spacing w:before="260" w:after="260" w:line="416" w:lineRule="auto"/>
      <w:outlineLvl w:val="2"/>
    </w:pPr>
    <w:rPr>
      <w:b/>
      <w:bCs/>
      <w:sz w:val="32"/>
      <w:szCs w:val="32"/>
    </w:rPr>
  </w:style>
  <w:style w:type="paragraph" w:styleId="5">
    <w:name w:val="heading 4"/>
    <w:basedOn w:val="1"/>
    <w:next w:val="1"/>
    <w:link w:val="37"/>
    <w:autoRedefine/>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autoRedefine/>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autoRedefine/>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autoRedefine/>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autoRedefine/>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autoRedefine/>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autoRedefine/>
    <w:semiHidden/>
    <w:unhideWhenUsed/>
    <w:qFormat/>
    <w:uiPriority w:val="1"/>
  </w:style>
  <w:style w:type="table" w:default="1" w:styleId="26">
    <w:name w:val="Normal Table"/>
    <w:autoRedefine/>
    <w:semiHidden/>
    <w:unhideWhenUsed/>
    <w:qFormat/>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autoRedefine/>
    <w:qFormat/>
    <w:uiPriority w:val="0"/>
    <w:pPr>
      <w:ind w:firstLine="420"/>
    </w:pPr>
  </w:style>
  <w:style w:type="paragraph" w:styleId="13">
    <w:name w:val="Body Text"/>
    <w:basedOn w:val="1"/>
    <w:link w:val="86"/>
    <w:uiPriority w:val="0"/>
    <w:pPr>
      <w:spacing w:after="120"/>
    </w:pPr>
  </w:style>
  <w:style w:type="paragraph" w:styleId="14">
    <w:name w:val="toc 5"/>
    <w:basedOn w:val="1"/>
    <w:next w:val="1"/>
    <w:autoRedefine/>
    <w:unhideWhenUsed/>
    <w:qFormat/>
    <w:uiPriority w:val="39"/>
    <w:pPr>
      <w:ind w:left="839"/>
    </w:pPr>
    <w:rPr>
      <w:rFonts w:ascii="宋体"/>
    </w:rPr>
  </w:style>
  <w:style w:type="paragraph" w:styleId="15">
    <w:name w:val="toc 3"/>
    <w:basedOn w:val="1"/>
    <w:next w:val="1"/>
    <w:autoRedefine/>
    <w:unhideWhenUsed/>
    <w:qFormat/>
    <w:uiPriority w:val="39"/>
    <w:pPr>
      <w:spacing w:line="300" w:lineRule="exact"/>
      <w:ind w:left="420"/>
    </w:pPr>
    <w:rPr>
      <w:rFonts w:ascii="宋体"/>
    </w:rPr>
  </w:style>
  <w:style w:type="paragraph" w:styleId="16">
    <w:name w:val="Balloon Text"/>
    <w:basedOn w:val="1"/>
    <w:link w:val="45"/>
    <w:autoRedefine/>
    <w:semiHidden/>
    <w:unhideWhenUsed/>
    <w:qFormat/>
    <w:uiPriority w:val="99"/>
    <w:rPr>
      <w:sz w:val="18"/>
      <w:szCs w:val="18"/>
    </w:rPr>
  </w:style>
  <w:style w:type="paragraph" w:styleId="17">
    <w:name w:val="footer"/>
    <w:basedOn w:val="1"/>
    <w:link w:val="44"/>
    <w:autoRedefine/>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autoRedefine/>
    <w:qFormat/>
    <w:uiPriority w:val="99"/>
    <w:pPr>
      <w:tabs>
        <w:tab w:val="center" w:pos="4153"/>
        <w:tab w:val="right" w:pos="8306"/>
      </w:tabs>
      <w:adjustRightInd/>
      <w:snapToGrid w:val="0"/>
      <w:jc w:val="center"/>
    </w:pPr>
    <w:rPr>
      <w:sz w:val="18"/>
      <w:szCs w:val="18"/>
    </w:rPr>
  </w:style>
  <w:style w:type="paragraph" w:styleId="19">
    <w:name w:val="toc 1"/>
    <w:basedOn w:val="1"/>
    <w:next w:val="1"/>
    <w:autoRedefine/>
    <w:unhideWhenUsed/>
    <w:qFormat/>
    <w:uiPriority w:val="39"/>
    <w:rPr>
      <w:rFonts w:ascii="宋体"/>
    </w:rPr>
  </w:style>
  <w:style w:type="paragraph" w:styleId="20">
    <w:name w:val="toc 4"/>
    <w:basedOn w:val="1"/>
    <w:next w:val="1"/>
    <w:autoRedefine/>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autoRedefine/>
    <w:semiHidden/>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autoRedefine/>
    <w:unhideWhenUsed/>
    <w:qFormat/>
    <w:uiPriority w:val="39"/>
    <w:pPr>
      <w:spacing w:line="300" w:lineRule="exact"/>
      <w:ind w:left="1049"/>
    </w:pPr>
    <w:rPr>
      <w:rFonts w:ascii="宋体"/>
    </w:rPr>
  </w:style>
  <w:style w:type="paragraph" w:styleId="23">
    <w:name w:val="table of figures"/>
    <w:basedOn w:val="1"/>
    <w:next w:val="1"/>
    <w:semiHidden/>
    <w:uiPriority w:val="0"/>
    <w:pPr>
      <w:adjustRightInd/>
      <w:spacing w:line="240" w:lineRule="auto"/>
      <w:jc w:val="left"/>
    </w:pPr>
    <w:rPr>
      <w:szCs w:val="24"/>
    </w:rPr>
  </w:style>
  <w:style w:type="paragraph" w:styleId="24">
    <w:name w:val="toc 2"/>
    <w:basedOn w:val="1"/>
    <w:next w:val="1"/>
    <w:autoRedefine/>
    <w:unhideWhenUsed/>
    <w:qFormat/>
    <w:uiPriority w:val="39"/>
    <w:pPr>
      <w:tabs>
        <w:tab w:val="right" w:leader="dot" w:pos="9344"/>
      </w:tabs>
      <w:spacing w:line="300" w:lineRule="exact"/>
      <w:ind w:left="210"/>
    </w:pPr>
    <w:rPr>
      <w:rFonts w:ascii="宋体"/>
    </w:rPr>
  </w:style>
  <w:style w:type="paragraph" w:styleId="25">
    <w:name w:val="Title"/>
    <w:basedOn w:val="1"/>
    <w:link w:val="48"/>
    <w:autoRedefine/>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autoRedefine/>
    <w:qFormat/>
    <w:uiPriority w:val="22"/>
    <w:rPr>
      <w:b/>
      <w:bCs/>
    </w:rPr>
  </w:style>
  <w:style w:type="character" w:styleId="30">
    <w:name w:val="page number"/>
    <w:autoRedefine/>
    <w:qFormat/>
    <w:uiPriority w:val="0"/>
    <w:rPr>
      <w:rFonts w:ascii="宋体" w:hAnsi="Times New Roman" w:eastAsia="宋体"/>
      <w:sz w:val="18"/>
    </w:rPr>
  </w:style>
  <w:style w:type="character" w:styleId="31">
    <w:name w:val="Emphasis"/>
    <w:autoRedefine/>
    <w:qFormat/>
    <w:uiPriority w:val="20"/>
    <w:rPr>
      <w:i/>
      <w:iCs/>
    </w:rPr>
  </w:style>
  <w:style w:type="character" w:styleId="32">
    <w:name w:val="Hyperlink"/>
    <w:autoRedefine/>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uiPriority w:val="0"/>
    <w:rPr>
      <w:rFonts w:ascii="宋体" w:hAnsi="宋体" w:eastAsia="宋体" w:cs="Times New Roman"/>
      <w:spacing w:val="0"/>
      <w:sz w:val="18"/>
      <w:vertAlign w:val="superscript"/>
    </w:rPr>
  </w:style>
  <w:style w:type="character" w:customStyle="1" w:styleId="34">
    <w:name w:val="标题 1 字符"/>
    <w:link w:val="2"/>
    <w:autoRedefine/>
    <w:qFormat/>
    <w:uiPriority w:val="0"/>
    <w:rPr>
      <w:rFonts w:ascii="Times New Roman" w:hAnsi="Times New Roman" w:eastAsia="宋体" w:cs="Times New Roman"/>
      <w:b/>
      <w:bCs/>
      <w:kern w:val="44"/>
      <w:sz w:val="44"/>
      <w:szCs w:val="44"/>
    </w:rPr>
  </w:style>
  <w:style w:type="character" w:customStyle="1" w:styleId="35">
    <w:name w:val="标题 2 字符"/>
    <w:link w:val="3"/>
    <w:autoRedefine/>
    <w:qFormat/>
    <w:uiPriority w:val="0"/>
    <w:rPr>
      <w:rFonts w:ascii="Arial" w:hAnsi="Arial" w:eastAsia="黑体" w:cs="Times New Roman"/>
      <w:b/>
      <w:bCs/>
      <w:sz w:val="32"/>
      <w:szCs w:val="32"/>
    </w:rPr>
  </w:style>
  <w:style w:type="character" w:customStyle="1" w:styleId="36">
    <w:name w:val="标题 3 字符"/>
    <w:link w:val="4"/>
    <w:autoRedefine/>
    <w:qFormat/>
    <w:uiPriority w:val="0"/>
    <w:rPr>
      <w:rFonts w:ascii="Times New Roman" w:hAnsi="Times New Roman" w:eastAsia="宋体" w:cs="Times New Roman"/>
      <w:b/>
      <w:bCs/>
      <w:sz w:val="32"/>
      <w:szCs w:val="32"/>
    </w:rPr>
  </w:style>
  <w:style w:type="character" w:customStyle="1" w:styleId="37">
    <w:name w:val="标题 4 字符"/>
    <w:link w:val="5"/>
    <w:autoRedefine/>
    <w:qFormat/>
    <w:uiPriority w:val="0"/>
    <w:rPr>
      <w:rFonts w:ascii="Arial" w:hAnsi="Arial" w:eastAsia="黑体" w:cs="Times New Roman"/>
      <w:b/>
      <w:bCs/>
      <w:sz w:val="28"/>
      <w:szCs w:val="28"/>
    </w:rPr>
  </w:style>
  <w:style w:type="character" w:customStyle="1" w:styleId="38">
    <w:name w:val="标题 5 字符"/>
    <w:link w:val="6"/>
    <w:autoRedefine/>
    <w:qFormat/>
    <w:uiPriority w:val="0"/>
    <w:rPr>
      <w:rFonts w:ascii="Times New Roman" w:hAnsi="Times New Roman" w:eastAsia="宋体" w:cs="Times New Roman"/>
      <w:b/>
      <w:bCs/>
      <w:sz w:val="28"/>
      <w:szCs w:val="28"/>
    </w:rPr>
  </w:style>
  <w:style w:type="character" w:customStyle="1" w:styleId="39">
    <w:name w:val="标题 6 字符"/>
    <w:link w:val="7"/>
    <w:autoRedefine/>
    <w:qFormat/>
    <w:uiPriority w:val="0"/>
    <w:rPr>
      <w:rFonts w:ascii="Arial" w:hAnsi="Arial" w:eastAsia="黑体" w:cs="Times New Roman"/>
      <w:b/>
      <w:bCs/>
      <w:sz w:val="24"/>
      <w:szCs w:val="24"/>
    </w:rPr>
  </w:style>
  <w:style w:type="character" w:customStyle="1" w:styleId="40">
    <w:name w:val="标题 7 字符"/>
    <w:link w:val="8"/>
    <w:autoRedefine/>
    <w:qFormat/>
    <w:uiPriority w:val="0"/>
    <w:rPr>
      <w:rFonts w:ascii="Times New Roman" w:hAnsi="Times New Roman" w:eastAsia="宋体" w:cs="Times New Roman"/>
      <w:b/>
      <w:bCs/>
      <w:sz w:val="24"/>
      <w:szCs w:val="24"/>
    </w:rPr>
  </w:style>
  <w:style w:type="character" w:customStyle="1" w:styleId="41">
    <w:name w:val="标题 8 字符"/>
    <w:link w:val="9"/>
    <w:autoRedefine/>
    <w:qFormat/>
    <w:uiPriority w:val="0"/>
    <w:rPr>
      <w:rFonts w:ascii="Arial" w:hAnsi="Arial" w:eastAsia="黑体" w:cs="Times New Roman"/>
      <w:sz w:val="24"/>
      <w:szCs w:val="24"/>
    </w:rPr>
  </w:style>
  <w:style w:type="character" w:customStyle="1" w:styleId="42">
    <w:name w:val="标题 9 字符"/>
    <w:link w:val="10"/>
    <w:autoRedefine/>
    <w:qFormat/>
    <w:uiPriority w:val="0"/>
    <w:rPr>
      <w:rFonts w:ascii="Arial" w:hAnsi="Arial" w:eastAsia="黑体" w:cs="Times New Roman"/>
      <w:szCs w:val="21"/>
    </w:rPr>
  </w:style>
  <w:style w:type="character" w:customStyle="1" w:styleId="43">
    <w:name w:val="页眉 字符"/>
    <w:link w:val="18"/>
    <w:autoRedefine/>
    <w:qFormat/>
    <w:uiPriority w:val="99"/>
    <w:rPr>
      <w:rFonts w:ascii="Times New Roman" w:hAnsi="Times New Roman" w:eastAsia="宋体" w:cs="Times New Roman"/>
      <w:sz w:val="18"/>
      <w:szCs w:val="18"/>
    </w:rPr>
  </w:style>
  <w:style w:type="character" w:customStyle="1" w:styleId="44">
    <w:name w:val="页脚 字符"/>
    <w:link w:val="17"/>
    <w:autoRedefine/>
    <w:qFormat/>
    <w:uiPriority w:val="99"/>
    <w:rPr>
      <w:rFonts w:ascii="宋体" w:hAnsi="Times New Roman" w:eastAsia="宋体" w:cs="Times New Roman"/>
      <w:sz w:val="18"/>
      <w:szCs w:val="18"/>
    </w:rPr>
  </w:style>
  <w:style w:type="character" w:customStyle="1" w:styleId="45">
    <w:name w:val="批注框文本 字符"/>
    <w:link w:val="16"/>
    <w:autoRedefine/>
    <w:semiHidden/>
    <w:qFormat/>
    <w:uiPriority w:val="99"/>
    <w:rPr>
      <w:sz w:val="18"/>
      <w:szCs w:val="18"/>
    </w:rPr>
  </w:style>
  <w:style w:type="paragraph" w:styleId="46">
    <w:name w:val="Quote"/>
    <w:basedOn w:val="1"/>
    <w:next w:val="1"/>
    <w:link w:val="47"/>
    <w:autoRedefine/>
    <w:qFormat/>
    <w:uiPriority w:val="29"/>
    <w:rPr>
      <w:i/>
      <w:iCs/>
      <w:color w:val="000000"/>
    </w:rPr>
  </w:style>
  <w:style w:type="character" w:customStyle="1" w:styleId="47">
    <w:name w:val="引用 字符"/>
    <w:link w:val="46"/>
    <w:autoRedefine/>
    <w:qFormat/>
    <w:uiPriority w:val="29"/>
    <w:rPr>
      <w:i/>
      <w:iCs/>
      <w:color w:val="000000"/>
    </w:rPr>
  </w:style>
  <w:style w:type="character" w:customStyle="1" w:styleId="48">
    <w:name w:val="标题 字符"/>
    <w:link w:val="25"/>
    <w:autoRedefine/>
    <w:qFormat/>
    <w:uiPriority w:val="0"/>
    <w:rPr>
      <w:rFonts w:ascii="Arial" w:hAnsi="Arial" w:eastAsia="宋体" w:cs="Arial"/>
      <w:b/>
      <w:bCs/>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autoRedefine/>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uiPriority w:val="0"/>
    <w:pPr>
      <w:ind w:left="227"/>
    </w:pPr>
    <w:rPr>
      <w:rFonts w:ascii="宋体" w:hAnsi="Times New Roman" w:eastAsia="宋体" w:cs="Times New Roman"/>
      <w:sz w:val="18"/>
      <w:lang w:val="en-US" w:eastAsia="zh-CN" w:bidi="ar-SA"/>
    </w:rPr>
  </w:style>
  <w:style w:type="paragraph" w:customStyle="1" w:styleId="52">
    <w:name w:val="标准文件_页脚奇数页"/>
    <w:autoRedefine/>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uiPriority w:val="0"/>
    <w:pPr>
      <w:adjustRightInd/>
      <w:snapToGrid/>
      <w:ind w:firstLine="0" w:firstLineChars="0"/>
    </w:pPr>
    <w:rPr>
      <w:rFonts w:ascii="宋体" w:hAnsi="宋体"/>
      <w:kern w:val="2"/>
    </w:rPr>
  </w:style>
  <w:style w:type="paragraph" w:customStyle="1" w:styleId="58">
    <w:name w:val="标准文件_标准部门"/>
    <w:basedOn w:val="1"/>
    <w:autoRedefine/>
    <w:uiPriority w:val="0"/>
    <w:pPr>
      <w:jc w:val="center"/>
    </w:pPr>
    <w:rPr>
      <w:rFonts w:ascii="黑体" w:eastAsia="黑体"/>
      <w:kern w:val="0"/>
      <w:sz w:val="44"/>
    </w:rPr>
  </w:style>
  <w:style w:type="paragraph" w:customStyle="1" w:styleId="59">
    <w:name w:val="标准文件_标准代替"/>
    <w:basedOn w:val="1"/>
    <w:next w:val="1"/>
    <w:uiPriority w:val="0"/>
    <w:pPr>
      <w:spacing w:line="310" w:lineRule="exact"/>
      <w:jc w:val="right"/>
    </w:pPr>
    <w:rPr>
      <w:rFonts w:ascii="宋体" w:hAnsi="宋体"/>
      <w:kern w:val="0"/>
    </w:rPr>
  </w:style>
  <w:style w:type="paragraph" w:customStyle="1" w:styleId="60">
    <w:name w:val="标准文件_标准名称标题"/>
    <w:basedOn w:val="1"/>
    <w:next w:val="1"/>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autoRedefine/>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autoRedefine/>
    <w:qFormat/>
    <w:uiPriority w:val="0"/>
    <w:pPr>
      <w:jc w:val="left"/>
    </w:pPr>
  </w:style>
  <w:style w:type="paragraph" w:customStyle="1" w:styleId="63">
    <w:name w:val="标准文件_参考文献标题"/>
    <w:basedOn w:val="1"/>
    <w:next w:val="1"/>
    <w:autoRedefine/>
    <w:qFormat/>
    <w:uiPriority w:val="0"/>
    <w:pPr>
      <w:widowControl/>
      <w:shd w:val="clear" w:color="FFFFFF" w:fill="FFFFFF"/>
      <w:adjustRightInd/>
      <w:spacing w:before="40" w:beforeLines="40" w:after="50" w:afterLines="50" w:line="240" w:lineRule="auto"/>
      <w:jc w:val="center"/>
      <w:outlineLvl w:val="0"/>
    </w:pPr>
    <w:rPr>
      <w:rFonts w:ascii="黑体" w:eastAsia="黑体"/>
      <w:kern w:val="0"/>
    </w:rPr>
  </w:style>
  <w:style w:type="paragraph" w:customStyle="1" w:styleId="64">
    <w:name w:val="标准文件_参考文献条目"/>
    <w:autoRedefine/>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autoRedefine/>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uiPriority w:val="0"/>
    <w:rPr>
      <w:rFonts w:ascii="黑体" w:eastAsia="黑体"/>
      <w:b/>
      <w:kern w:val="0"/>
      <w:sz w:val="28"/>
    </w:rPr>
  </w:style>
  <w:style w:type="paragraph" w:customStyle="1" w:styleId="70">
    <w:name w:val="标准文件_封面标准名称"/>
    <w:basedOn w:val="1"/>
    <w:autoRedefine/>
    <w:uiPriority w:val="0"/>
    <w:pPr>
      <w:spacing w:line="240" w:lineRule="auto"/>
      <w:jc w:val="center"/>
    </w:pPr>
    <w:rPr>
      <w:rFonts w:ascii="黑体" w:eastAsia="黑体"/>
      <w:kern w:val="0"/>
      <w:sz w:val="52"/>
    </w:rPr>
  </w:style>
  <w:style w:type="paragraph" w:customStyle="1" w:styleId="71">
    <w:name w:val="标准文件_封面标准英文名称"/>
    <w:basedOn w:val="1"/>
    <w:uiPriority w:val="0"/>
    <w:pPr>
      <w:spacing w:line="240" w:lineRule="auto"/>
      <w:jc w:val="center"/>
    </w:pPr>
    <w:rPr>
      <w:rFonts w:ascii="黑体" w:eastAsia="黑体"/>
      <w:b/>
      <w:sz w:val="28"/>
    </w:rPr>
  </w:style>
  <w:style w:type="paragraph" w:customStyle="1" w:styleId="72">
    <w:name w:val="标准文件_封面发布日期"/>
    <w:basedOn w:val="1"/>
    <w:uiPriority w:val="0"/>
    <w:pPr>
      <w:spacing w:line="310" w:lineRule="exact"/>
    </w:pPr>
    <w:rPr>
      <w:rFonts w:ascii="黑体" w:eastAsia="黑体"/>
      <w:kern w:val="0"/>
      <w:sz w:val="28"/>
    </w:rPr>
  </w:style>
  <w:style w:type="paragraph" w:customStyle="1" w:styleId="73">
    <w:name w:val="标准文件_封面密级"/>
    <w:basedOn w:val="1"/>
    <w:autoRedefine/>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autoRedefine/>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uiPriority w:val="0"/>
    <w:pPr>
      <w:numPr>
        <w:ilvl w:val="0"/>
        <w:numId w:val="4"/>
      </w:numPr>
      <w:shd w:val="clear" w:color="FFFFFF" w:fill="FFFFFF"/>
      <w:tabs>
        <w:tab w:val="left" w:pos="6406"/>
      </w:tabs>
      <w:spacing w:before="25" w:beforeLines="25"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autoRedefine/>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ind w:firstLine="420"/>
      <w:jc w:val="center"/>
    </w:pPr>
    <w:rPr>
      <w:rFonts w:ascii="黑体" w:hAnsi="Times New Roman" w:eastAsia="黑体" w:cs="Times New Roman"/>
      <w:sz w:val="21"/>
      <w:lang w:val="en-US" w:eastAsia="zh-CN" w:bidi="ar-SA"/>
    </w:rPr>
  </w:style>
  <w:style w:type="paragraph" w:customStyle="1" w:styleId="84">
    <w:name w:val="标准文件_附录五级条标题"/>
    <w:next w:val="56"/>
    <w:autoRedefine/>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autoRedefine/>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qFormat/>
    <w:uiPriority w:val="0"/>
    <w:rPr>
      <w:rFonts w:ascii="Times New Roman" w:hAnsi="Times New Roman" w:eastAsia="宋体" w:cs="Times New Roman"/>
      <w:szCs w:val="20"/>
    </w:rPr>
  </w:style>
  <w:style w:type="paragraph" w:customStyle="1" w:styleId="87">
    <w:name w:val="标准文件_附录章标题"/>
    <w:next w:val="56"/>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autoRedefine/>
    <w:qFormat/>
    <w:uiPriority w:val="0"/>
    <w:pPr>
      <w:ind w:left="488" w:leftChars="200" w:hanging="289" w:hangingChars="290"/>
    </w:pPr>
  </w:style>
  <w:style w:type="paragraph" w:customStyle="1" w:styleId="89">
    <w:name w:val="标准文件_前言、引言标题"/>
    <w:next w:val="1"/>
    <w:autoRedefine/>
    <w:uiPriority w:val="0"/>
    <w:pPr>
      <w:numPr>
        <w:ilvl w:val="0"/>
        <w:numId w:val="8"/>
      </w:numPr>
      <w:shd w:val="clear" w:color="FFFFFF" w:fill="FFFFFF"/>
      <w:spacing w:after="150" w:afterLines="150"/>
      <w:ind w:left="0" w:firstLine="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autoRedefine/>
    <w:qFormat/>
    <w:uiPriority w:val="0"/>
    <w:pPr>
      <w:spacing w:line="460" w:lineRule="exact"/>
    </w:pPr>
  </w:style>
  <w:style w:type="paragraph" w:customStyle="1" w:styleId="91">
    <w:name w:val="标准文件_目录标题"/>
    <w:basedOn w:val="1"/>
    <w:uiPriority w:val="0"/>
    <w:pPr>
      <w:spacing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autoRedefine/>
    <w:qFormat/>
    <w:uiPriority w:val="0"/>
    <w:pPr>
      <w:numPr>
        <w:numId w:val="10"/>
      </w:numPr>
      <w:ind w:left="0" w:firstLine="200"/>
    </w:pPr>
  </w:style>
  <w:style w:type="paragraph" w:customStyle="1" w:styleId="94">
    <w:name w:val="标准文件_三级条标题"/>
    <w:basedOn w:val="65"/>
    <w:next w:val="56"/>
    <w:autoRedefine/>
    <w:qFormat/>
    <w:uiPriority w:val="0"/>
    <w:pPr>
      <w:widowControl/>
      <w:numPr>
        <w:ilvl w:val="4"/>
      </w:numPr>
      <w:outlineLvl w:val="3"/>
    </w:pPr>
  </w:style>
  <w:style w:type="character" w:customStyle="1" w:styleId="95">
    <w:name w:val="Subtle Reference"/>
    <w:qFormat/>
    <w:uiPriority w:val="31"/>
    <w:rPr>
      <w:smallCaps/>
      <w:color w:val="C0504D"/>
      <w:u w:val="single"/>
    </w:rPr>
  </w:style>
  <w:style w:type="paragraph" w:customStyle="1" w:styleId="96">
    <w:name w:val="标准文件_示例后续"/>
    <w:basedOn w:val="1"/>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autoRedefine/>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autoRedefine/>
    <w:semiHidden/>
    <w:qFormat/>
    <w:uiPriority w:val="0"/>
    <w:rPr>
      <w:rFonts w:ascii="宋体" w:hAnsi="Times New Roman" w:eastAsia="宋体" w:cs="Times New Roman"/>
      <w:sz w:val="18"/>
      <w:szCs w:val="18"/>
    </w:rPr>
  </w:style>
  <w:style w:type="paragraph" w:customStyle="1" w:styleId="100">
    <w:name w:val="标准文件_条文脚注"/>
    <w:basedOn w:val="21"/>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autoRedefine/>
    <w:qFormat/>
    <w:uiPriority w:val="0"/>
    <w:pPr>
      <w:numPr>
        <w:ilvl w:val="0"/>
        <w:numId w:val="12"/>
      </w:numPr>
      <w:spacing w:line="240" w:lineRule="auto"/>
      <w:jc w:val="left"/>
    </w:pPr>
    <w:rPr>
      <w:rFonts w:ascii="宋体" w:hAnsi="宋体"/>
      <w:sz w:val="18"/>
    </w:rPr>
  </w:style>
  <w:style w:type="character" w:customStyle="1" w:styleId="102">
    <w:name w:val="标准文件_图表脚注内容"/>
    <w:autoRedefine/>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autoRedefine/>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autoRedefine/>
    <w:qFormat/>
    <w:uiPriority w:val="0"/>
    <w:pPr>
      <w:numPr>
        <w:ilvl w:val="2"/>
      </w:numPr>
      <w:spacing w:before="50" w:beforeLines="50" w:after="50" w:afterLines="50"/>
      <w:outlineLvl w:val="1"/>
    </w:pPr>
  </w:style>
  <w:style w:type="paragraph" w:customStyle="1" w:styleId="106">
    <w:name w:val="标准文件_一致程度"/>
    <w:basedOn w:val="1"/>
    <w:autoRedefine/>
    <w:qFormat/>
    <w:uiPriority w:val="0"/>
    <w:pPr>
      <w:spacing w:line="440" w:lineRule="exact"/>
      <w:jc w:val="center"/>
    </w:pPr>
    <w:rPr>
      <w:sz w:val="28"/>
    </w:rPr>
  </w:style>
  <w:style w:type="paragraph" w:customStyle="1" w:styleId="107">
    <w:name w:val="标准文件_引言标题"/>
    <w:next w:val="1"/>
    <w:autoRedefine/>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autoRedefine/>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autoRedefine/>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autoRedefine/>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autoRedefine/>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autoRedefine/>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autoRedefine/>
    <w:qFormat/>
    <w:uiPriority w:val="0"/>
    <w:pPr>
      <w:numPr>
        <w:ilvl w:val="3"/>
        <w:numId w:val="20"/>
      </w:numPr>
      <w:adjustRightInd/>
      <w:spacing w:line="240" w:lineRule="auto"/>
    </w:pPr>
    <w:rPr>
      <w:rFonts w:ascii="宋体" w:hAnsi="宋体"/>
      <w:szCs w:val="24"/>
    </w:rPr>
  </w:style>
  <w:style w:type="paragraph" w:customStyle="1" w:styleId="119">
    <w:name w:val="发布部门"/>
    <w:next w:val="56"/>
    <w:autoRedefine/>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autoRedefine/>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autoRedefine/>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autoRedefine/>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autoRedefine/>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autoRedefine/>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autoRedefine/>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autoRedefine/>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autoRedefine/>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autoRedefine/>
    <w:qFormat/>
    <w:uiPriority w:val="0"/>
    <w:pPr>
      <w:outlineLvl w:val="4"/>
    </w:pPr>
  </w:style>
  <w:style w:type="paragraph" w:customStyle="1" w:styleId="130">
    <w:name w:val="附录四级无标题条"/>
    <w:basedOn w:val="129"/>
    <w:next w:val="56"/>
    <w:autoRedefine/>
    <w:uiPriority w:val="0"/>
    <w:pPr>
      <w:outlineLvl w:val="5"/>
    </w:pPr>
  </w:style>
  <w:style w:type="paragraph" w:customStyle="1" w:styleId="131">
    <w:name w:val="附录图"/>
    <w:next w:val="56"/>
    <w:autoRedefine/>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autoRedefine/>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autoRedefine/>
    <w:uiPriority w:val="0"/>
    <w:pPr>
      <w:outlineLvl w:val="6"/>
    </w:pPr>
  </w:style>
  <w:style w:type="paragraph" w:customStyle="1" w:styleId="134">
    <w:name w:val="附录性质"/>
    <w:basedOn w:val="1"/>
    <w:autoRedefine/>
    <w:qFormat/>
    <w:uiPriority w:val="0"/>
    <w:pPr>
      <w:widowControl/>
      <w:adjustRightInd/>
      <w:jc w:val="center"/>
    </w:pPr>
    <w:rPr>
      <w:rFonts w:ascii="黑体" w:eastAsia="黑体"/>
    </w:rPr>
  </w:style>
  <w:style w:type="paragraph" w:customStyle="1" w:styleId="135">
    <w:name w:val="附录一级无标题条"/>
    <w:basedOn w:val="87"/>
    <w:next w:val="56"/>
    <w:autoRedefine/>
    <w:uiPriority w:val="0"/>
    <w:pPr>
      <w:autoSpaceDN w:val="0"/>
      <w:outlineLvl w:val="2"/>
    </w:pPr>
    <w:rPr>
      <w:rFonts w:ascii="宋体" w:hAnsi="宋体" w:eastAsia="宋体"/>
    </w:rPr>
  </w:style>
  <w:style w:type="character" w:customStyle="1" w:styleId="136">
    <w:name w:val="个人答复风格"/>
    <w:autoRedefine/>
    <w:qFormat/>
    <w:uiPriority w:val="0"/>
    <w:rPr>
      <w:rFonts w:ascii="Arial" w:hAnsi="Arial" w:eastAsia="宋体" w:cs="Arial"/>
      <w:color w:val="auto"/>
      <w:spacing w:val="0"/>
      <w:sz w:val="20"/>
    </w:rPr>
  </w:style>
  <w:style w:type="character" w:customStyle="1" w:styleId="137">
    <w:name w:val="个人撰写风格"/>
    <w:uiPriority w:val="0"/>
    <w:rPr>
      <w:rFonts w:ascii="Arial" w:hAnsi="Arial" w:eastAsia="宋体" w:cs="Arial"/>
      <w:color w:val="auto"/>
      <w:spacing w:val="0"/>
      <w:sz w:val="20"/>
    </w:rPr>
  </w:style>
  <w:style w:type="paragraph" w:customStyle="1" w:styleId="138">
    <w:name w:val="脚注后续"/>
    <w:autoRedefine/>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autoRedefine/>
    <w:qFormat/>
    <w:uiPriority w:val="0"/>
    <w:pPr>
      <w:tabs>
        <w:tab w:val="left" w:pos="840"/>
      </w:tabs>
    </w:pPr>
  </w:style>
  <w:style w:type="paragraph" w:customStyle="1" w:styleId="141">
    <w:name w:val="目次、索引正文"/>
    <w:autoRedefine/>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autoRedefine/>
    <w:semiHidden/>
    <w:uiPriority w:val="0"/>
    <w:pPr>
      <w:adjustRightInd/>
      <w:spacing w:line="240" w:lineRule="auto"/>
      <w:jc w:val="left"/>
    </w:pPr>
    <w:rPr>
      <w:bCs/>
      <w:iCs/>
    </w:rPr>
  </w:style>
  <w:style w:type="paragraph" w:customStyle="1" w:styleId="143">
    <w:name w:val="目录 31"/>
    <w:basedOn w:val="1"/>
    <w:next w:val="1"/>
    <w:autoRedefine/>
    <w:semiHidden/>
    <w:uiPriority w:val="0"/>
    <w:pPr>
      <w:spacing w:line="240" w:lineRule="auto"/>
    </w:pPr>
    <w:rPr>
      <w:rFonts w:ascii="宋体" w:hAnsi="宋体"/>
      <w:iCs/>
    </w:rPr>
  </w:style>
  <w:style w:type="paragraph" w:customStyle="1" w:styleId="144">
    <w:name w:val="目录 41"/>
    <w:basedOn w:val="1"/>
    <w:next w:val="1"/>
    <w:autoRedefine/>
    <w:semiHidden/>
    <w:qFormat/>
    <w:uiPriority w:val="0"/>
    <w:pPr>
      <w:adjustRightInd/>
      <w:spacing w:line="240" w:lineRule="auto"/>
      <w:jc w:val="left"/>
    </w:pPr>
  </w:style>
  <w:style w:type="paragraph" w:customStyle="1" w:styleId="145">
    <w:name w:val="目录 51"/>
    <w:basedOn w:val="1"/>
    <w:next w:val="1"/>
    <w:autoRedefine/>
    <w:semiHidden/>
    <w:qFormat/>
    <w:uiPriority w:val="0"/>
    <w:pPr>
      <w:spacing w:line="240" w:lineRule="auto"/>
    </w:pPr>
    <w:rPr>
      <w:rFonts w:ascii="宋体" w:hAnsi="宋体"/>
    </w:rPr>
  </w:style>
  <w:style w:type="paragraph" w:customStyle="1" w:styleId="146">
    <w:name w:val="目录 61"/>
    <w:basedOn w:val="1"/>
    <w:next w:val="1"/>
    <w:autoRedefine/>
    <w:semiHidden/>
    <w:qFormat/>
    <w:uiPriority w:val="0"/>
    <w:pPr>
      <w:adjustRightInd/>
      <w:spacing w:line="240" w:lineRule="auto"/>
      <w:jc w:val="left"/>
    </w:pPr>
  </w:style>
  <w:style w:type="paragraph" w:customStyle="1" w:styleId="147">
    <w:name w:val="目录 71"/>
    <w:basedOn w:val="146"/>
    <w:autoRedefine/>
    <w:semiHidden/>
    <w:qFormat/>
    <w:uiPriority w:val="0"/>
    <w:pPr>
      <w:ind w:left="1260"/>
    </w:pPr>
  </w:style>
  <w:style w:type="paragraph" w:customStyle="1" w:styleId="148">
    <w:name w:val="目录 81"/>
    <w:basedOn w:val="147"/>
    <w:autoRedefine/>
    <w:semiHidden/>
    <w:uiPriority w:val="0"/>
    <w:pPr>
      <w:ind w:left="1470"/>
    </w:pPr>
  </w:style>
  <w:style w:type="paragraph" w:customStyle="1" w:styleId="149">
    <w:name w:val="目录 91"/>
    <w:basedOn w:val="148"/>
    <w:autoRedefine/>
    <w:semiHidden/>
    <w:uiPriority w:val="0"/>
    <w:pPr>
      <w:ind w:left="1680"/>
    </w:pPr>
  </w:style>
  <w:style w:type="paragraph" w:customStyle="1" w:styleId="150">
    <w:name w:val="其他标准称谓"/>
    <w:autoRedefine/>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autoRedefine/>
    <w:qFormat/>
    <w:uiPriority w:val="0"/>
    <w:pPr>
      <w:framePr w:wrap="around"/>
      <w:spacing w:line="0" w:lineRule="atLeast"/>
    </w:pPr>
    <w:rPr>
      <w:rFonts w:ascii="黑体" w:eastAsia="黑体"/>
      <w:b w:val="0"/>
    </w:rPr>
  </w:style>
  <w:style w:type="paragraph" w:customStyle="1" w:styleId="152">
    <w:name w:val="前言标题"/>
    <w:next w:val="1"/>
    <w:autoRedefine/>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uiPriority w:val="0"/>
    <w:pPr>
      <w:numPr>
        <w:ilvl w:val="4"/>
        <w:numId w:val="20"/>
      </w:numPr>
      <w:adjustRightInd/>
      <w:spacing w:line="240" w:lineRule="auto"/>
    </w:pPr>
    <w:rPr>
      <w:rFonts w:ascii="宋体" w:hAnsi="宋体"/>
      <w:szCs w:val="24"/>
    </w:rPr>
  </w:style>
  <w:style w:type="paragraph" w:customStyle="1" w:styleId="154">
    <w:name w:val="实施日期"/>
    <w:basedOn w:val="120"/>
    <w:autoRedefine/>
    <w:qFormat/>
    <w:uiPriority w:val="0"/>
    <w:pPr>
      <w:framePr w:hSpace="0" w:wrap="around" w:xAlign="right"/>
      <w:jc w:val="right"/>
    </w:pPr>
  </w:style>
  <w:style w:type="paragraph" w:customStyle="1" w:styleId="155">
    <w:name w:val="四级无标题条"/>
    <w:basedOn w:val="1"/>
    <w:autoRedefine/>
    <w:uiPriority w:val="0"/>
    <w:pPr>
      <w:numPr>
        <w:ilvl w:val="5"/>
        <w:numId w:val="20"/>
      </w:numPr>
      <w:adjustRightInd/>
      <w:spacing w:line="240" w:lineRule="auto"/>
    </w:pPr>
    <w:rPr>
      <w:rFonts w:ascii="宋体" w:hAnsi="宋体"/>
      <w:szCs w:val="24"/>
    </w:rPr>
  </w:style>
  <w:style w:type="paragraph" w:customStyle="1" w:styleId="156">
    <w:name w:val="文献分类号"/>
    <w:autoRedefine/>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autoRedefine/>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autoRedefine/>
    <w:qFormat/>
    <w:uiPriority w:val="0"/>
    <w:pPr>
      <w:numPr>
        <w:ilvl w:val="6"/>
        <w:numId w:val="20"/>
      </w:numPr>
      <w:adjustRightInd/>
    </w:pPr>
    <w:rPr>
      <w:szCs w:val="24"/>
    </w:rPr>
  </w:style>
  <w:style w:type="paragraph" w:customStyle="1" w:styleId="159">
    <w:name w:val="一级无标题条"/>
    <w:basedOn w:val="1"/>
    <w:autoRedefine/>
    <w:qFormat/>
    <w:uiPriority w:val="0"/>
    <w:pPr>
      <w:numPr>
        <w:ilvl w:val="2"/>
        <w:numId w:val="20"/>
      </w:numPr>
      <w:adjustRightInd/>
      <w:spacing w:before="10" w:after="10" w:line="240" w:lineRule="auto"/>
    </w:pPr>
    <w:rPr>
      <w:rFonts w:ascii="宋体" w:hAnsi="宋体"/>
      <w:szCs w:val="24"/>
    </w:rPr>
  </w:style>
  <w:style w:type="paragraph" w:customStyle="1" w:styleId="160">
    <w:name w:val="注:后续"/>
    <w:autoRedefine/>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autoRedefine/>
    <w:qFormat/>
    <w:uiPriority w:val="0"/>
    <w:pPr>
      <w:ind w:left="1406" w:leftChars="0" w:hanging="499" w:firstLineChars="0"/>
    </w:pPr>
  </w:style>
  <w:style w:type="paragraph" w:customStyle="1" w:styleId="162">
    <w:name w:val="标准文件_一级无标题"/>
    <w:basedOn w:val="105"/>
    <w:autoRedefine/>
    <w:qFormat/>
    <w:uiPriority w:val="0"/>
    <w:pPr>
      <w:spacing w:before="0" w:beforeLines="0" w:after="0" w:afterLines="0"/>
      <w:outlineLvl w:val="9"/>
    </w:pPr>
    <w:rPr>
      <w:rFonts w:ascii="宋体" w:eastAsia="宋体"/>
    </w:rPr>
  </w:style>
  <w:style w:type="paragraph" w:customStyle="1" w:styleId="163">
    <w:name w:val="标准文件_五级无标题"/>
    <w:basedOn w:val="103"/>
    <w:autoRedefine/>
    <w:qFormat/>
    <w:uiPriority w:val="0"/>
    <w:pPr>
      <w:spacing w:before="0" w:beforeLines="0" w:after="0" w:afterLines="0"/>
      <w:outlineLvl w:val="9"/>
    </w:pPr>
    <w:rPr>
      <w:rFonts w:ascii="宋体" w:eastAsia="宋体"/>
    </w:rPr>
  </w:style>
  <w:style w:type="paragraph" w:customStyle="1" w:styleId="164">
    <w:name w:val="标准文件_三级无标题"/>
    <w:basedOn w:val="94"/>
    <w:autoRedefine/>
    <w:qFormat/>
    <w:uiPriority w:val="0"/>
    <w:pPr>
      <w:spacing w:before="0" w:beforeLines="0" w:after="0" w:afterLines="0"/>
      <w:outlineLvl w:val="9"/>
    </w:pPr>
    <w:rPr>
      <w:rFonts w:ascii="宋体" w:eastAsia="宋体"/>
    </w:rPr>
  </w:style>
  <w:style w:type="paragraph" w:customStyle="1" w:styleId="165">
    <w:name w:val="标准文件_二级无标题"/>
    <w:basedOn w:val="65"/>
    <w:autoRedefine/>
    <w:qFormat/>
    <w:uiPriority w:val="0"/>
    <w:pPr>
      <w:spacing w:before="0" w:beforeLines="0" w:after="0" w:afterLines="0"/>
      <w:outlineLvl w:val="9"/>
    </w:pPr>
    <w:rPr>
      <w:rFonts w:ascii="宋体" w:eastAsia="宋体"/>
    </w:rPr>
  </w:style>
  <w:style w:type="paragraph" w:customStyle="1" w:styleId="166">
    <w:name w:val="标准_四级无标题"/>
    <w:basedOn w:val="98"/>
    <w:next w:val="56"/>
    <w:autoRedefine/>
    <w:qFormat/>
    <w:uiPriority w:val="0"/>
    <w:rPr>
      <w:rFonts w:eastAsia="宋体"/>
    </w:rPr>
  </w:style>
  <w:style w:type="paragraph" w:customStyle="1" w:styleId="167">
    <w:name w:val="标准文件_四级无标题"/>
    <w:basedOn w:val="98"/>
    <w:autoRedefine/>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autoRedefine/>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autoRedefine/>
    <w:qFormat/>
    <w:uiPriority w:val="0"/>
    <w:pPr>
      <w:numPr>
        <w:ilvl w:val="0"/>
        <w:numId w:val="24"/>
      </w:numPr>
      <w:ind w:firstLine="0" w:firstLineChars="0"/>
    </w:pPr>
    <w:rPr>
      <w:rFonts w:cs="Arial"/>
      <w:szCs w:val="28"/>
    </w:rPr>
  </w:style>
  <w:style w:type="paragraph" w:customStyle="1" w:styleId="170">
    <w:name w:val="标准文件_附录标题"/>
    <w:basedOn w:val="76"/>
    <w:autoRedefine/>
    <w:qFormat/>
    <w:uiPriority w:val="0"/>
    <w:pPr>
      <w:numPr>
        <w:numId w:val="0"/>
      </w:numPr>
      <w:spacing w:after="280"/>
      <w:outlineLvl w:val="9"/>
    </w:pPr>
  </w:style>
  <w:style w:type="paragraph" w:customStyle="1" w:styleId="171">
    <w:name w:val="标准文件_二级项"/>
    <w:autoRedefine/>
    <w:qFormat/>
    <w:uiPriority w:val="0"/>
    <w:rPr>
      <w:rFonts w:ascii="宋体" w:hAnsi="Times New Roman" w:eastAsia="宋体" w:cs="Times New Roman"/>
      <w:sz w:val="21"/>
      <w:lang w:val="en-US" w:eastAsia="zh-CN" w:bidi="ar-SA"/>
    </w:rPr>
  </w:style>
  <w:style w:type="paragraph" w:customStyle="1" w:styleId="172">
    <w:name w:val="标准文件_三级项"/>
    <w:basedOn w:val="1"/>
    <w:autoRedefine/>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autoRedefine/>
    <w:qFormat/>
    <w:uiPriority w:val="0"/>
    <w:pPr>
      <w:numPr>
        <w:ilvl w:val="0"/>
        <w:numId w:val="25"/>
      </w:numPr>
      <w:adjustRightInd/>
      <w:spacing w:line="240" w:lineRule="auto"/>
      <w:ind w:left="783"/>
    </w:pPr>
    <w:rPr>
      <w:rFonts w:ascii="宋体" w:hAnsi="Times New Roman"/>
      <w:sz w:val="18"/>
      <w:szCs w:val="18"/>
    </w:rPr>
  </w:style>
  <w:style w:type="paragraph" w:customStyle="1" w:styleId="174">
    <w:name w:val="标准文件_字母编号列项（一级）"/>
    <w:autoRedefine/>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autoRedefine/>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autoRedefine/>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autoRedefine/>
    <w:qFormat/>
    <w:uiPriority w:val="0"/>
    <w:pPr>
      <w:spacing w:before="20" w:beforeLines="2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autoRedefine/>
    <w:qFormat/>
    <w:uiPriority w:val="0"/>
    <w:pPr>
      <w:ind w:firstLine="0" w:firstLineChars="0"/>
      <w:jc w:val="center"/>
    </w:pPr>
    <w:rPr>
      <w:sz w:val="18"/>
    </w:rPr>
  </w:style>
  <w:style w:type="paragraph" w:customStyle="1" w:styleId="179">
    <w:name w:val="标准文件_注："/>
    <w:next w:val="56"/>
    <w:autoRedefine/>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autoRedefine/>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autoRedefine/>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autoRedefine/>
    <w:qFormat/>
    <w:uiPriority w:val="0"/>
    <w:pPr>
      <w:ind w:firstLine="420"/>
    </w:pPr>
    <w:rPr>
      <w:sz w:val="18"/>
    </w:rPr>
  </w:style>
  <w:style w:type="paragraph" w:customStyle="1" w:styleId="183">
    <w:name w:val="标准文件_示例×："/>
    <w:basedOn w:val="1"/>
    <w:next w:val="182"/>
    <w:autoRedefine/>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autoRedefine/>
    <w:qFormat/>
    <w:uiPriority w:val="0"/>
    <w:rPr>
      <w:rFonts w:ascii="宋体" w:hAnsi="Times New Roman"/>
      <w:sz w:val="21"/>
    </w:rPr>
  </w:style>
  <w:style w:type="paragraph" w:customStyle="1" w:styleId="185">
    <w:name w:val="标准文件_表格续"/>
    <w:basedOn w:val="56"/>
    <w:next w:val="56"/>
    <w:autoRedefine/>
    <w:qFormat/>
    <w:uiPriority w:val="0"/>
    <w:pPr>
      <w:jc w:val="center"/>
    </w:pPr>
    <w:rPr>
      <w:rFonts w:ascii="黑体" w:hAnsi="黑体" w:eastAsia="黑体"/>
    </w:rPr>
  </w:style>
  <w:style w:type="character" w:styleId="186">
    <w:name w:val="Placeholder Text"/>
    <w:basedOn w:val="28"/>
    <w:autoRedefine/>
    <w:semiHidden/>
    <w:qFormat/>
    <w:uiPriority w:val="99"/>
    <w:rPr>
      <w:color w:val="808080"/>
    </w:rPr>
  </w:style>
  <w:style w:type="paragraph" w:customStyle="1" w:styleId="187">
    <w:name w:val="标准文件_二级项2"/>
    <w:basedOn w:val="56"/>
    <w:autoRedefine/>
    <w:qFormat/>
    <w:uiPriority w:val="0"/>
    <w:pPr>
      <w:numPr>
        <w:ilvl w:val="1"/>
        <w:numId w:val="21"/>
      </w:numPr>
      <w:ind w:left="1271" w:hanging="420" w:firstLineChars="0"/>
    </w:pPr>
  </w:style>
  <w:style w:type="paragraph" w:customStyle="1" w:styleId="188">
    <w:name w:val="标准文件_三级项2"/>
    <w:basedOn w:val="56"/>
    <w:autoRedefine/>
    <w:qFormat/>
    <w:uiPriority w:val="0"/>
    <w:pPr>
      <w:numPr>
        <w:ilvl w:val="0"/>
        <w:numId w:val="30"/>
      </w:numPr>
      <w:spacing w:line="300" w:lineRule="exact"/>
      <w:ind w:left="1276" w:hanging="425" w:firstLineChars="0"/>
    </w:pPr>
    <w:rPr>
      <w:rFonts w:ascii="Times New Roman"/>
    </w:rPr>
  </w:style>
  <w:style w:type="paragraph" w:customStyle="1" w:styleId="189">
    <w:name w:val="标准文件_一级项2"/>
    <w:basedOn w:val="56"/>
    <w:autoRedefine/>
    <w:qFormat/>
    <w:uiPriority w:val="0"/>
    <w:pPr>
      <w:numPr>
        <w:ilvl w:val="0"/>
        <w:numId w:val="31"/>
      </w:numPr>
      <w:spacing w:line="300" w:lineRule="exact"/>
      <w:ind w:left="1271" w:hanging="420" w:firstLineChars="0"/>
    </w:pPr>
    <w:rPr>
      <w:rFonts w:ascii="Times New Roman"/>
    </w:rPr>
  </w:style>
  <w:style w:type="paragraph" w:customStyle="1" w:styleId="190">
    <w:name w:val="标准文件_提示"/>
    <w:basedOn w:val="56"/>
    <w:next w:val="56"/>
    <w:autoRedefine/>
    <w:qFormat/>
    <w:uiPriority w:val="0"/>
    <w:pPr>
      <w:ind w:firstLine="420"/>
    </w:pPr>
    <w:rPr>
      <w:rFonts w:ascii="黑体" w:eastAsia="黑体"/>
    </w:rPr>
  </w:style>
  <w:style w:type="character" w:customStyle="1" w:styleId="191">
    <w:name w:val="标准文件_来源"/>
    <w:basedOn w:val="28"/>
    <w:autoRedefine/>
    <w:qFormat/>
    <w:uiPriority w:val="1"/>
    <w:rPr>
      <w:rFonts w:eastAsia="宋体"/>
      <w:sz w:val="21"/>
    </w:rPr>
  </w:style>
  <w:style w:type="paragraph" w:customStyle="1" w:styleId="192">
    <w:name w:val="标准文件_图表说明"/>
    <w:autoRedefine/>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autoRedefine/>
    <w:qFormat/>
    <w:uiPriority w:val="0"/>
    <w:pPr>
      <w:framePr w:w="3997" w:h="471" w:hRule="exact" w:hSpace="0" w:vSpace="181" w:wrap="around" w:vAnchor="page" w:hAnchor="page" w:x="1419" w:y="14097"/>
    </w:pPr>
  </w:style>
  <w:style w:type="paragraph" w:customStyle="1" w:styleId="194">
    <w:name w:val="其他实施日期"/>
    <w:basedOn w:val="154"/>
    <w:autoRedefine/>
    <w:qFormat/>
    <w:uiPriority w:val="0"/>
    <w:pPr>
      <w:framePr w:w="3997" w:h="471" w:hRule="exact" w:vSpace="181" w:wrap="around" w:vAnchor="page" w:hAnchor="page" w:x="7089" w:y="14097"/>
    </w:pPr>
  </w:style>
  <w:style w:type="paragraph" w:customStyle="1" w:styleId="195">
    <w:name w:val="标准文件_文件编号"/>
    <w:basedOn w:val="56"/>
    <w:autoRedefine/>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autoRedefine/>
    <w:qFormat/>
    <w:uiPriority w:val="0"/>
    <w:pPr>
      <w:spacing w:before="57"/>
    </w:pPr>
    <w:rPr>
      <w:sz w:val="21"/>
    </w:rPr>
  </w:style>
  <w:style w:type="paragraph" w:customStyle="1" w:styleId="197">
    <w:name w:val="标准文件_文件名称"/>
    <w:basedOn w:val="56"/>
    <w:next w:val="56"/>
    <w:autoRedefine/>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autoRedefine/>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autoRedefine/>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autoRedefine/>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autoRedefine/>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autoRedefine/>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autoRedefine/>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autoRedefine/>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autoRedefine/>
    <w:qFormat/>
    <w:uiPriority w:val="0"/>
    <w:pPr>
      <w:ind w:left="811" w:firstLine="0" w:firstLineChars="0"/>
    </w:pPr>
    <w:rPr>
      <w:sz w:val="18"/>
    </w:rPr>
  </w:style>
  <w:style w:type="paragraph" w:customStyle="1" w:styleId="206">
    <w:name w:val="标准文件_注X后"/>
    <w:basedOn w:val="56"/>
    <w:autoRedefine/>
    <w:qFormat/>
    <w:uiPriority w:val="0"/>
    <w:pPr>
      <w:ind w:left="811" w:firstLine="0" w:firstLineChars="0"/>
    </w:pPr>
    <w:rPr>
      <w:sz w:val="18"/>
    </w:rPr>
  </w:style>
  <w:style w:type="paragraph" w:customStyle="1" w:styleId="207">
    <w:name w:val="标准文件_示例后"/>
    <w:basedOn w:val="56"/>
    <w:autoRedefine/>
    <w:qFormat/>
    <w:uiPriority w:val="0"/>
    <w:pPr>
      <w:ind w:left="964" w:firstLine="0" w:firstLineChars="0"/>
    </w:pPr>
    <w:rPr>
      <w:sz w:val="18"/>
    </w:rPr>
  </w:style>
  <w:style w:type="paragraph" w:customStyle="1" w:styleId="208">
    <w:name w:val="标准文件_示例X后"/>
    <w:basedOn w:val="56"/>
    <w:link w:val="209"/>
    <w:autoRedefine/>
    <w:qFormat/>
    <w:uiPriority w:val="0"/>
    <w:pPr>
      <w:ind w:left="1049" w:firstLine="0" w:firstLineChars="0"/>
    </w:pPr>
    <w:rPr>
      <w:sz w:val="18"/>
    </w:rPr>
  </w:style>
  <w:style w:type="character" w:customStyle="1" w:styleId="209">
    <w:name w:val="标准文件_示例X后 字符"/>
    <w:basedOn w:val="184"/>
    <w:link w:val="208"/>
    <w:autoRedefine/>
    <w:qFormat/>
    <w:uiPriority w:val="0"/>
    <w:rPr>
      <w:rFonts w:ascii="宋体" w:hAnsi="Times New Roman"/>
      <w:sz w:val="18"/>
    </w:rPr>
  </w:style>
  <w:style w:type="paragraph" w:customStyle="1" w:styleId="210">
    <w:name w:val="标准文件_索引项"/>
    <w:basedOn w:val="56"/>
    <w:next w:val="56"/>
    <w:autoRedefine/>
    <w:qFormat/>
    <w:uiPriority w:val="0"/>
    <w:pPr>
      <w:tabs>
        <w:tab w:val="right" w:leader="dot" w:pos="9356"/>
      </w:tabs>
      <w:ind w:left="210" w:hanging="210" w:firstLineChars="0"/>
      <w:jc w:val="left"/>
    </w:pPr>
  </w:style>
  <w:style w:type="paragraph" w:customStyle="1" w:styleId="211">
    <w:name w:val="标准文件_附录一级无标题"/>
    <w:basedOn w:val="78"/>
    <w:autoRedefine/>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autoRedefine/>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autoRedefine/>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autoRedefine/>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autoRedefine/>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autoRedefine/>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autoRedefine/>
    <w:qFormat/>
    <w:uiPriority w:val="0"/>
    <w:pPr>
      <w:spacing w:before="0" w:beforeLines="0" w:after="0" w:afterLines="0" w:line="276" w:lineRule="auto"/>
    </w:pPr>
    <w:rPr>
      <w:rFonts w:ascii="宋体" w:eastAsia="宋体"/>
    </w:rPr>
  </w:style>
  <w:style w:type="paragraph" w:customStyle="1" w:styleId="218">
    <w:name w:val="标准文件_引言三级无标题"/>
    <w:basedOn w:val="202"/>
    <w:next w:val="56"/>
    <w:autoRedefine/>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autoRedefine/>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autoRedefine/>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autoRedefine/>
    <w:qFormat/>
    <w:uiPriority w:val="0"/>
    <w:rPr>
      <w:rFonts w:hAnsi="黑体"/>
    </w:rPr>
  </w:style>
  <w:style w:type="paragraph" w:customStyle="1" w:styleId="222">
    <w:name w:val="标准文件_脚注内容"/>
    <w:basedOn w:val="56"/>
    <w:autoRedefine/>
    <w:qFormat/>
    <w:uiPriority w:val="0"/>
    <w:pPr>
      <w:ind w:left="400" w:leftChars="200" w:hanging="200" w:hangingChars="200"/>
    </w:pPr>
    <w:rPr>
      <w:sz w:val="15"/>
    </w:rPr>
  </w:style>
  <w:style w:type="paragraph" w:customStyle="1" w:styleId="223">
    <w:name w:val="标准文件_术语条一"/>
    <w:basedOn w:val="162"/>
    <w:next w:val="56"/>
    <w:autoRedefine/>
    <w:qFormat/>
    <w:uiPriority w:val="0"/>
  </w:style>
  <w:style w:type="paragraph" w:customStyle="1" w:styleId="224">
    <w:name w:val="标准文件_术语条二"/>
    <w:basedOn w:val="165"/>
    <w:next w:val="56"/>
    <w:autoRedefine/>
    <w:qFormat/>
    <w:uiPriority w:val="0"/>
  </w:style>
  <w:style w:type="paragraph" w:customStyle="1" w:styleId="225">
    <w:name w:val="标准文件_术语条三"/>
    <w:basedOn w:val="164"/>
    <w:next w:val="56"/>
    <w:autoRedefine/>
    <w:qFormat/>
    <w:uiPriority w:val="0"/>
  </w:style>
  <w:style w:type="paragraph" w:customStyle="1" w:styleId="226">
    <w:name w:val="标准文件_术语条四"/>
    <w:basedOn w:val="167"/>
    <w:next w:val="56"/>
    <w:autoRedefine/>
    <w:qFormat/>
    <w:uiPriority w:val="0"/>
  </w:style>
  <w:style w:type="paragraph" w:customStyle="1" w:styleId="227">
    <w:name w:val="标准文件_术语条五"/>
    <w:basedOn w:val="163"/>
    <w:next w:val="56"/>
    <w:autoRedefine/>
    <w:qFormat/>
    <w:uiPriority w:val="0"/>
  </w:style>
  <w:style w:type="paragraph" w:customStyle="1" w:styleId="228">
    <w:name w:val="Default"/>
    <w:autoRedefine/>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autoRedefine/>
    <w:qFormat/>
    <w:uiPriority w:val="0"/>
    <w:rPr>
      <w:rFonts w:ascii="黑体" w:eastAsia="黑体"/>
      <w:spacing w:val="85"/>
      <w:w w:val="100"/>
      <w:position w:val="3"/>
      <w:sz w:val="28"/>
      <w:szCs w:val="28"/>
    </w:rPr>
  </w:style>
  <w:style w:type="paragraph" w:customStyle="1" w:styleId="230">
    <w:name w:val="段"/>
    <w:link w:val="231"/>
    <w:autoRedefine/>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31">
    <w:name w:val="段 Char"/>
    <w:link w:val="230"/>
    <w:autoRedefine/>
    <w:qFormat/>
    <w:uiPriority w:val="0"/>
    <w:rPr>
      <w:rFonts w:ascii="宋体" w:hAnsi="Times New Roman"/>
      <w:sz w:val="21"/>
    </w:rPr>
  </w:style>
  <w:style w:type="paragraph" w:customStyle="1" w:styleId="232">
    <w:name w:val="章标题"/>
    <w:next w:val="230"/>
    <w:autoRedefine/>
    <w:qFormat/>
    <w:uiPriority w:val="0"/>
    <w:pPr>
      <w:numPr>
        <w:ilvl w:val="0"/>
        <w:numId w:val="32"/>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233">
    <w:name w:val="二级条标题"/>
    <w:basedOn w:val="234"/>
    <w:next w:val="230"/>
    <w:autoRedefine/>
    <w:qFormat/>
    <w:uiPriority w:val="0"/>
    <w:pPr>
      <w:numPr>
        <w:ilvl w:val="2"/>
      </w:numPr>
      <w:spacing w:before="50" w:after="50"/>
      <w:outlineLvl w:val="3"/>
    </w:pPr>
  </w:style>
  <w:style w:type="paragraph" w:customStyle="1" w:styleId="234">
    <w:name w:val="一级条标题"/>
    <w:next w:val="230"/>
    <w:autoRedefine/>
    <w:qFormat/>
    <w:uiPriority w:val="0"/>
    <w:pPr>
      <w:numPr>
        <w:ilvl w:val="1"/>
        <w:numId w:val="32"/>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235">
    <w:name w:val="五级条标题"/>
    <w:basedOn w:val="236"/>
    <w:next w:val="230"/>
    <w:autoRedefine/>
    <w:qFormat/>
    <w:uiPriority w:val="0"/>
    <w:pPr>
      <w:numPr>
        <w:ilvl w:val="5"/>
      </w:numPr>
      <w:outlineLvl w:val="6"/>
    </w:pPr>
  </w:style>
  <w:style w:type="paragraph" w:customStyle="1" w:styleId="236">
    <w:name w:val="四级条标题"/>
    <w:basedOn w:val="237"/>
    <w:next w:val="230"/>
    <w:autoRedefine/>
    <w:qFormat/>
    <w:uiPriority w:val="0"/>
    <w:pPr>
      <w:numPr>
        <w:ilvl w:val="4"/>
      </w:numPr>
      <w:outlineLvl w:val="5"/>
    </w:pPr>
  </w:style>
  <w:style w:type="paragraph" w:customStyle="1" w:styleId="237">
    <w:name w:val="三级条标题"/>
    <w:basedOn w:val="233"/>
    <w:next w:val="230"/>
    <w:autoRedefine/>
    <w:qFormat/>
    <w:uiPriority w:val="0"/>
    <w:pPr>
      <w:numPr>
        <w:ilvl w:val="3"/>
      </w:numPr>
      <w:outlineLvl w:val="4"/>
    </w:pPr>
  </w:style>
  <w:style w:type="paragraph" w:customStyle="1" w:styleId="238">
    <w:name w:val="一级无"/>
    <w:basedOn w:val="234"/>
    <w:autoRedefine/>
    <w:qFormat/>
    <w:uiPriority w:val="0"/>
    <w:pPr>
      <w:spacing w:before="0" w:beforeLines="0" w:after="0" w:afterLines="0"/>
    </w:pPr>
    <w:rPr>
      <w:rFonts w:ascii="宋体" w:eastAsia="宋体"/>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1" Type="http://schemas.openxmlformats.org/officeDocument/2006/relationships/glossaryDocument" Target="glossary/document.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2.jpeg"/><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FD096C766D4F4DD581463AE813DEBE1C"/>
        <w:style w:val=""/>
        <w:category>
          <w:name w:val="常规"/>
          <w:gallery w:val="placeholder"/>
        </w:category>
        <w:types>
          <w:type w:val="bbPlcHdr"/>
        </w:types>
        <w:behaviors>
          <w:behavior w:val="content"/>
        </w:behaviors>
        <w:description w:val=""/>
        <w:guid w:val="{4A6B96D5-1287-49F6-8554-A5610A99AD52}"/>
      </w:docPartPr>
      <w:docPartBody>
        <w:p>
          <w:pPr>
            <w:pStyle w:val="5"/>
          </w:pPr>
          <w:r>
            <w:rPr>
              <w:rStyle w:val="4"/>
              <w:rFonts w:hint="eastAsia"/>
            </w:rPr>
            <w:t>单击或点击此处输入文字。</w:t>
          </w:r>
        </w:p>
      </w:docPartBody>
    </w:docPart>
    <w:docPart>
      <w:docPartPr>
        <w:name w:val="C241FDDF18C04B58B03D0235AB0801AD"/>
        <w:style w:val=""/>
        <w:category>
          <w:name w:val="常规"/>
          <w:gallery w:val="placeholder"/>
        </w:category>
        <w:types>
          <w:type w:val="bbPlcHdr"/>
        </w:types>
        <w:behaviors>
          <w:behavior w:val="content"/>
        </w:behaviors>
        <w:description w:val=""/>
        <w:guid w:val="{D4AF8E98-5E44-4BB7-B17A-18FE3FDC908C}"/>
      </w:docPartPr>
      <w:docPartBody>
        <w:p>
          <w:pPr>
            <w:pStyle w:val="6"/>
          </w:pPr>
          <w:r>
            <w:rPr>
              <w:rStyle w:val="4"/>
              <w:rFonts w:hint="eastAsia"/>
            </w:rPr>
            <w:t>选择一项。</w:t>
          </w:r>
        </w:p>
      </w:docPartBody>
    </w:docPart>
    <w:docPart>
      <w:docPartPr>
        <w:name w:val="A935BB94EDC24B30A199788CF5C5CE50"/>
        <w:style w:val=""/>
        <w:category>
          <w:name w:val="常规"/>
          <w:gallery w:val="placeholder"/>
        </w:category>
        <w:types>
          <w:type w:val="bbPlcHdr"/>
        </w:types>
        <w:behaviors>
          <w:behavior w:val="content"/>
        </w:behaviors>
        <w:description w:val=""/>
        <w:guid w:val="{65627500-1853-4E38-9E51-8E6D3C47E53B}"/>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05A5"/>
    <w:rsid w:val="006805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2">
    <w:name w:val="Default Paragraph Font"/>
    <w:semiHidden/>
    <w:unhideWhenUsed/>
    <w:uiPriority w:val="1"/>
  </w:style>
  <w:style w:type="table" w:default="1" w:styleId="3">
    <w:name w:val="Normal Table"/>
    <w:autoRedefine/>
    <w:semiHidden/>
    <w:unhideWhenUsed/>
    <w:qFormat/>
    <w:uiPriority w:val="99"/>
    <w:tblPr>
      <w:tblCellMar>
        <w:top w:w="0" w:type="dxa"/>
        <w:left w:w="108" w:type="dxa"/>
        <w:bottom w:w="0" w:type="dxa"/>
        <w:right w:w="108" w:type="dxa"/>
      </w:tblCellMar>
    </w:tblPr>
  </w:style>
  <w:style w:type="character" w:styleId="4">
    <w:name w:val="Placeholder Text"/>
    <w:basedOn w:val="2"/>
    <w:autoRedefine/>
    <w:semiHidden/>
    <w:qFormat/>
    <w:uiPriority w:val="99"/>
    <w:rPr>
      <w:color w:val="808080"/>
    </w:rPr>
  </w:style>
  <w:style w:type="paragraph" w:customStyle="1" w:styleId="5">
    <w:name w:val="FD096C766D4F4DD581463AE813DEBE1C"/>
    <w:autoRedefine/>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customStyle="1" w:styleId="6">
    <w:name w:val="C241FDDF18C04B58B03D0235AB0801AD"/>
    <w:autoRedefine/>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customStyle="1" w:styleId="7">
    <w:name w:val="A935BB94EDC24B30A199788CF5C5CE50"/>
    <w:autoRedefine/>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EFAA175-4EE7-4243-A30D-EAEA680073AD}">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8</Pages>
  <Words>801</Words>
  <Characters>4568</Characters>
  <Lines>38</Lines>
  <Paragraphs>10</Paragraphs>
  <TotalTime>7</TotalTime>
  <ScaleCrop>false</ScaleCrop>
  <LinksUpToDate>false</LinksUpToDate>
  <CharactersWithSpaces>5359</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2024-04-07T13:40:00Z</dcterms:created>
  <dc:creator>THINKBOOK</dc:creator>
  <dc:description>&lt;config cover="true" show_menu="true" version="1.0.0" doctype="SDKXY"&gt;_x000d_
&lt;/config&gt;</dc:description>
  <cp:lastModifiedBy>李斌</cp:lastModifiedBy>
  <cp:lastPrinted>2020-08-30T10:00:00Z</cp:lastPrinted>
  <dcterms:modified xsi:type="dcterms:W3CDTF">2024-05-15T09:03:41Z</dcterms:modified>
  <dc:title>地方标准</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2052-12.1.0.16388</vt:lpwstr>
  </property>
  <property fmtid="{D5CDD505-2E9C-101B-9397-08002B2CF9AE}" pid="15" name="ICV">
    <vt:lpwstr>BEF3CBC7C8E2426495CC6A9C44C0C002_12</vt:lpwstr>
  </property>
</Properties>
</file>