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p>
    <w:p>
      <w:pPr>
        <w:jc w:val="center"/>
        <w:rPr>
          <w:rFonts w:ascii="宋体"/>
          <w:b/>
          <w:sz w:val="32"/>
          <w:szCs w:val="32"/>
        </w:rPr>
      </w:pPr>
    </w:p>
    <w:p>
      <w:pPr>
        <w:jc w:val="center"/>
        <w:rPr>
          <w:rFonts w:ascii="宋体"/>
          <w:b/>
          <w:sz w:val="32"/>
          <w:szCs w:val="32"/>
        </w:rPr>
      </w:pP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山西省地方标准</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《设施蔬菜二氧化碳施肥</w:t>
      </w:r>
      <w:r>
        <w:rPr>
          <w:rFonts w:hint="eastAsia" w:ascii="黑体" w:eastAsia="黑体" w:hAnsiTheme="minorHAnsi" w:cstheme="minorBidi"/>
          <w:b/>
          <w:kern w:val="22"/>
          <w:sz w:val="44"/>
          <w:szCs w:val="44"/>
          <w:lang w:eastAsia="zh-CN"/>
        </w:rPr>
        <w:t>技术规程</w:t>
      </w:r>
      <w:r>
        <w:rPr>
          <w:rFonts w:hint="eastAsia" w:ascii="黑体" w:eastAsia="黑体" w:hAnsiTheme="minorHAnsi" w:cstheme="minorBidi"/>
          <w:b/>
          <w:kern w:val="22"/>
          <w:sz w:val="44"/>
          <w:szCs w:val="44"/>
        </w:rPr>
        <w:t>》</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编制说明</w:t>
      </w: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jc w:val="center"/>
        <w:rPr>
          <w:rFonts w:ascii="仿宋" w:hAnsi="仿宋" w:eastAsia="仿宋"/>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spacing w:line="360" w:lineRule="auto"/>
        <w:jc w:val="center"/>
        <w:rPr>
          <w:rFonts w:hint="default" w:ascii="宋体" w:hAnsi="宋体" w:eastAsia="宋体"/>
          <w:b/>
          <w:kern w:val="22"/>
          <w:sz w:val="10"/>
          <w:szCs w:val="10"/>
          <w:lang w:val="en-US" w:eastAsia="zh-CN"/>
        </w:rPr>
      </w:pPr>
      <w:r>
        <w:rPr>
          <w:rFonts w:hint="eastAsia" w:ascii="宋体" w:hAnsi="宋体"/>
          <w:b/>
          <w:kern w:val="22"/>
          <w:sz w:val="32"/>
          <w:szCs w:val="32"/>
        </w:rPr>
        <w:t>编制单位：</w:t>
      </w:r>
      <w:r>
        <w:rPr>
          <w:rFonts w:hint="eastAsia" w:ascii="宋体" w:hAnsi="宋体"/>
          <w:b/>
          <w:kern w:val="22"/>
          <w:sz w:val="32"/>
          <w:szCs w:val="32"/>
          <w:lang w:val="en-US" w:eastAsia="zh-CN"/>
        </w:rPr>
        <w:t>山西农业大学</w:t>
      </w:r>
    </w:p>
    <w:p>
      <w:pPr>
        <w:jc w:val="center"/>
        <w:rPr>
          <w:rFonts w:ascii="宋体" w:hAnsi="宋体"/>
          <w:b/>
          <w:sz w:val="32"/>
          <w:szCs w:val="32"/>
        </w:rPr>
      </w:pPr>
      <w:r>
        <w:rPr>
          <w:rFonts w:hint="eastAsia" w:ascii="宋体" w:hAnsi="宋体"/>
          <w:b/>
          <w:sz w:val="32"/>
          <w:szCs w:val="32"/>
        </w:rPr>
        <w:t xml:space="preserve"> 二〇</w:t>
      </w:r>
      <w:r>
        <w:rPr>
          <w:rFonts w:hint="eastAsia" w:ascii="宋体" w:hAnsi="宋体"/>
          <w:b/>
          <w:sz w:val="32"/>
          <w:szCs w:val="32"/>
          <w:lang w:eastAsia="zh-CN"/>
        </w:rPr>
        <w:t>二四</w:t>
      </w:r>
      <w:r>
        <w:rPr>
          <w:rFonts w:hint="eastAsia" w:ascii="宋体" w:hAnsi="宋体"/>
          <w:b/>
          <w:sz w:val="32"/>
          <w:szCs w:val="32"/>
        </w:rPr>
        <w:t>年</w:t>
      </w:r>
      <w:r>
        <w:rPr>
          <w:rFonts w:hint="eastAsia" w:ascii="宋体" w:hAnsi="宋体"/>
          <w:b/>
          <w:sz w:val="32"/>
          <w:szCs w:val="32"/>
          <w:lang w:eastAsia="zh-CN"/>
        </w:rPr>
        <w:t>五</w:t>
      </w:r>
      <w:bookmarkStart w:id="1" w:name="_GoBack"/>
      <w:bookmarkEnd w:id="1"/>
      <w:r>
        <w:rPr>
          <w:rFonts w:hint="eastAsia" w:ascii="宋体" w:hAnsi="宋体"/>
          <w:b/>
          <w:sz w:val="32"/>
          <w:szCs w:val="32"/>
        </w:rPr>
        <w:t>月</w:t>
      </w: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b/>
          <w:sz w:val="30"/>
          <w:szCs w:val="30"/>
        </w:rPr>
      </w:pPr>
      <w:r>
        <w:rPr>
          <w:rFonts w:hint="eastAsia" w:ascii="宋体" w:hAnsi="宋体"/>
          <w:b/>
          <w:sz w:val="30"/>
          <w:szCs w:val="30"/>
        </w:rPr>
        <w:t>山西省地方标准</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b/>
          <w:sz w:val="30"/>
          <w:szCs w:val="30"/>
        </w:rPr>
      </w:pPr>
      <w:r>
        <w:rPr>
          <w:rFonts w:hint="eastAsia" w:ascii="宋体" w:hAnsi="宋体"/>
          <w:b/>
          <w:sz w:val="30"/>
          <w:szCs w:val="30"/>
        </w:rPr>
        <w:t>《</w:t>
      </w:r>
      <w:r>
        <w:rPr>
          <w:rFonts w:hint="eastAsia" w:ascii="宋体" w:hAnsi="宋体"/>
          <w:b/>
          <w:sz w:val="30"/>
          <w:szCs w:val="30"/>
          <w:lang w:val="en-US" w:eastAsia="zh-CN"/>
        </w:rPr>
        <w:t>设施蔬菜二氧化碳施肥</w:t>
      </w:r>
      <w:r>
        <w:rPr>
          <w:rFonts w:hint="eastAsia" w:ascii="宋体" w:hAnsi="宋体"/>
          <w:b/>
          <w:sz w:val="30"/>
          <w:szCs w:val="30"/>
          <w:lang w:eastAsia="zh-CN"/>
        </w:rPr>
        <w:t>技术</w:t>
      </w:r>
      <w:r>
        <w:rPr>
          <w:rFonts w:hint="eastAsia" w:ascii="宋体" w:hAnsi="宋体"/>
          <w:b/>
          <w:sz w:val="30"/>
          <w:szCs w:val="30"/>
        </w:rPr>
        <w:t>规程》</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b/>
          <w:sz w:val="30"/>
          <w:szCs w:val="30"/>
        </w:rPr>
      </w:pPr>
      <w:r>
        <w:rPr>
          <w:rFonts w:hint="eastAsia" w:ascii="宋体" w:hAnsi="宋体"/>
          <w:b/>
          <w:sz w:val="30"/>
          <w:szCs w:val="30"/>
        </w:rPr>
        <w:t>编制说明</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b/>
          <w:sz w:val="30"/>
          <w:szCs w:val="30"/>
        </w:rPr>
      </w:pPr>
    </w:p>
    <w:p>
      <w:pPr>
        <w:spacing w:line="360" w:lineRule="auto"/>
        <w:ind w:firstLine="480" w:firstLineChars="200"/>
        <w:outlineLvl w:val="0"/>
        <w:rPr>
          <w:rFonts w:ascii="黑体" w:eastAsia="黑体"/>
          <w:sz w:val="24"/>
        </w:rPr>
      </w:pPr>
      <w:r>
        <w:rPr>
          <w:rFonts w:hint="eastAsia" w:ascii="黑体" w:eastAsia="黑体"/>
          <w:sz w:val="24"/>
        </w:rPr>
        <w:t>一、工作简况</w:t>
      </w:r>
    </w:p>
    <w:p>
      <w:pPr>
        <w:spacing w:line="360" w:lineRule="auto"/>
        <w:ind w:left="465"/>
        <w:outlineLvl w:val="1"/>
        <w:rPr>
          <w:rFonts w:ascii="楷体_GB2312" w:eastAsia="楷体_GB2312"/>
          <w:sz w:val="24"/>
        </w:rPr>
      </w:pPr>
      <w:r>
        <w:rPr>
          <w:rFonts w:hint="eastAsia" w:ascii="楷体_GB2312" w:eastAsia="楷体_GB2312"/>
          <w:sz w:val="24"/>
        </w:rPr>
        <w:t>1任务来源</w:t>
      </w:r>
    </w:p>
    <w:p>
      <w:pPr>
        <w:spacing w:line="360" w:lineRule="auto"/>
        <w:ind w:firstLine="480" w:firstLineChars="200"/>
        <w:jc w:val="left"/>
        <w:outlineLvl w:val="1"/>
        <w:rPr>
          <w:rFonts w:ascii="仿宋_GB2312" w:hAnsi="宋体" w:eastAsia="仿宋_GB2312"/>
          <w:sz w:val="24"/>
        </w:rPr>
      </w:pPr>
      <w:r>
        <w:rPr>
          <w:rFonts w:hint="eastAsia" w:ascii="仿宋_GB2312" w:hAnsi="宋体" w:eastAsia="仿宋_GB2312"/>
          <w:sz w:val="24"/>
          <w:lang w:val="en-US" w:eastAsia="zh-CN"/>
        </w:rPr>
        <w:t>按照</w:t>
      </w:r>
      <w:r>
        <w:rPr>
          <w:rFonts w:hint="eastAsia" w:ascii="仿宋_GB2312" w:hAnsi="宋体" w:eastAsia="仿宋_GB2312"/>
          <w:sz w:val="24"/>
        </w:rPr>
        <w:t>山西省市场监督管理局关于2022年度省级地方标准复审结论公告（山西省地方标准公告2022年第20号），《</w:t>
      </w:r>
      <w:r>
        <w:rPr>
          <w:rFonts w:hint="eastAsia" w:ascii="仿宋_GB2312" w:hAnsi="宋体" w:eastAsia="仿宋_GB2312"/>
          <w:sz w:val="24"/>
          <w:lang w:val="en-US" w:eastAsia="zh-CN"/>
        </w:rPr>
        <w:t>日光温室</w:t>
      </w:r>
      <w:r>
        <w:rPr>
          <w:rFonts w:hint="eastAsia" w:ascii="仿宋_GB2312" w:hAnsi="宋体" w:eastAsia="仿宋_GB2312"/>
          <w:sz w:val="24"/>
        </w:rPr>
        <w:t>二氧化碳施肥</w:t>
      </w:r>
      <w:r>
        <w:rPr>
          <w:rFonts w:hint="eastAsia" w:ascii="仿宋_GB2312" w:hAnsi="宋体" w:eastAsia="仿宋_GB2312"/>
          <w:sz w:val="24"/>
          <w:lang w:eastAsia="zh-CN"/>
        </w:rPr>
        <w:t>技术规程</w:t>
      </w:r>
      <w:r>
        <w:rPr>
          <w:rFonts w:hint="eastAsia" w:ascii="仿宋_GB2312" w:hAnsi="宋体" w:eastAsia="仿宋_GB2312"/>
          <w:sz w:val="24"/>
        </w:rPr>
        <w:t>》</w:t>
      </w:r>
      <w:r>
        <w:rPr>
          <w:rFonts w:hint="eastAsia" w:ascii="仿宋_GB2312" w:hAnsi="宋体" w:eastAsia="仿宋_GB2312"/>
          <w:sz w:val="24"/>
          <w:lang w:val="en-US" w:eastAsia="zh-CN"/>
        </w:rPr>
        <w:t xml:space="preserve"> </w:t>
      </w:r>
      <w:r>
        <w:rPr>
          <w:rFonts w:hint="eastAsia" w:ascii="仿宋_GB2312" w:hAnsi="宋体" w:eastAsia="仿宋_GB2312"/>
          <w:sz w:val="24"/>
        </w:rPr>
        <w:t>DB14/T</w:t>
      </w:r>
      <w:r>
        <w:rPr>
          <w:rFonts w:hint="eastAsia" w:ascii="仿宋_GB2312" w:hAnsi="宋体" w:eastAsia="仿宋_GB2312"/>
          <w:sz w:val="24"/>
          <w:lang w:val="en-US" w:eastAsia="zh-CN"/>
        </w:rPr>
        <w:t xml:space="preserve"> 1295-2016和</w:t>
      </w:r>
      <w:r>
        <w:rPr>
          <w:rFonts w:hint="eastAsia" w:ascii="仿宋_GB2312" w:hAnsi="宋体" w:eastAsia="仿宋_GB2312"/>
          <w:sz w:val="24"/>
        </w:rPr>
        <w:t>《</w:t>
      </w:r>
      <w:r>
        <w:rPr>
          <w:rFonts w:hint="eastAsia" w:ascii="仿宋_GB2312" w:hAnsi="宋体" w:eastAsia="仿宋_GB2312"/>
          <w:sz w:val="24"/>
          <w:lang w:val="en-US" w:eastAsia="zh-CN"/>
        </w:rPr>
        <w:t>塑料大棚</w:t>
      </w:r>
      <w:r>
        <w:rPr>
          <w:rFonts w:hint="eastAsia" w:ascii="仿宋_GB2312" w:hAnsi="宋体" w:eastAsia="仿宋_GB2312"/>
          <w:sz w:val="24"/>
        </w:rPr>
        <w:t>二氧化碳施肥</w:t>
      </w:r>
      <w:r>
        <w:rPr>
          <w:rFonts w:hint="eastAsia" w:ascii="仿宋_GB2312" w:hAnsi="宋体" w:eastAsia="仿宋_GB2312"/>
          <w:sz w:val="24"/>
          <w:lang w:eastAsia="zh-CN"/>
        </w:rPr>
        <w:t>技术规程</w:t>
      </w:r>
      <w:r>
        <w:rPr>
          <w:rFonts w:hint="eastAsia" w:ascii="仿宋_GB2312" w:hAnsi="宋体" w:eastAsia="仿宋_GB2312"/>
          <w:sz w:val="24"/>
        </w:rPr>
        <w:t>》DB14/T</w:t>
      </w:r>
      <w:r>
        <w:rPr>
          <w:rFonts w:hint="eastAsia" w:ascii="仿宋_GB2312" w:hAnsi="宋体" w:eastAsia="仿宋_GB2312"/>
          <w:sz w:val="24"/>
          <w:lang w:val="en-US" w:eastAsia="zh-CN"/>
        </w:rPr>
        <w:t xml:space="preserve"> 1288</w:t>
      </w:r>
      <w:r>
        <w:rPr>
          <w:rFonts w:hint="eastAsia" w:ascii="仿宋_GB2312" w:hAnsi="宋体" w:eastAsia="仿宋_GB2312"/>
          <w:sz w:val="24"/>
        </w:rPr>
        <w:t>-</w:t>
      </w:r>
      <w:r>
        <w:rPr>
          <w:rFonts w:hint="eastAsia" w:ascii="仿宋_GB2312" w:hAnsi="宋体" w:eastAsia="仿宋_GB2312"/>
          <w:sz w:val="24"/>
          <w:lang w:val="en-US" w:eastAsia="zh-CN"/>
        </w:rPr>
        <w:t>2016被</w:t>
      </w:r>
      <w:r>
        <w:rPr>
          <w:rFonts w:hint="eastAsia" w:ascii="仿宋_GB2312" w:hAnsi="宋体" w:eastAsia="仿宋_GB2312"/>
          <w:sz w:val="24"/>
        </w:rPr>
        <w:t>列</w:t>
      </w:r>
      <w:r>
        <w:rPr>
          <w:rFonts w:hint="eastAsia" w:ascii="仿宋_GB2312" w:hAnsi="宋体" w:eastAsia="仿宋_GB2312"/>
          <w:sz w:val="24"/>
          <w:lang w:val="en-US" w:eastAsia="zh-CN"/>
        </w:rPr>
        <w:t>入</w:t>
      </w:r>
      <w:r>
        <w:rPr>
          <w:rFonts w:hint="eastAsia" w:ascii="仿宋_GB2312" w:hAnsi="宋体" w:eastAsia="仿宋_GB2312"/>
          <w:sz w:val="24"/>
        </w:rPr>
        <w:t>山西省地方标准修订计划，</w:t>
      </w:r>
      <w:r>
        <w:rPr>
          <w:rFonts w:hint="eastAsia" w:ascii="仿宋_GB2312" w:hAnsi="宋体" w:eastAsia="仿宋_GB2312"/>
          <w:sz w:val="24"/>
          <w:lang w:val="en-US" w:eastAsia="zh-CN"/>
        </w:rPr>
        <w:t>本标准将上述两项标准进行整合修订，变更为《设施蔬菜二氧化碳施肥技术规程》，</w:t>
      </w:r>
      <w:r>
        <w:rPr>
          <w:rFonts w:hint="eastAsia" w:ascii="仿宋_GB2312" w:hAnsi="宋体" w:eastAsia="仿宋_GB2312"/>
          <w:sz w:val="24"/>
        </w:rPr>
        <w:t>由山西省农业标准化技术委员会（SXS/TC19）归口。</w:t>
      </w:r>
    </w:p>
    <w:p>
      <w:pPr>
        <w:spacing w:line="360" w:lineRule="auto"/>
        <w:ind w:left="465"/>
        <w:outlineLvl w:val="1"/>
        <w:rPr>
          <w:rFonts w:ascii="楷体_GB2312" w:eastAsia="楷体_GB2312"/>
          <w:sz w:val="24"/>
        </w:rPr>
      </w:pPr>
      <w:r>
        <w:rPr>
          <w:rFonts w:hint="eastAsia" w:ascii="楷体_GB2312" w:eastAsia="楷体_GB2312"/>
          <w:sz w:val="24"/>
        </w:rPr>
        <w:t>2 起草</w:t>
      </w:r>
      <w:r>
        <w:rPr>
          <w:rFonts w:ascii="楷体_GB2312" w:eastAsia="楷体_GB2312"/>
          <w:sz w:val="24"/>
        </w:rPr>
        <w:t>单位和主要起草人</w:t>
      </w:r>
    </w:p>
    <w:p>
      <w:pPr>
        <w:spacing w:line="360" w:lineRule="auto"/>
        <w:ind w:firstLine="480" w:firstLineChars="200"/>
        <w:jc w:val="left"/>
        <w:outlineLvl w:val="1"/>
        <w:rPr>
          <w:rFonts w:ascii="仿宋_GB2312" w:hAnsi="宋体" w:eastAsia="仿宋_GB2312"/>
          <w:sz w:val="24"/>
        </w:rPr>
      </w:pPr>
      <w:r>
        <w:rPr>
          <w:rFonts w:ascii="仿宋_GB2312" w:hAnsi="宋体" w:eastAsia="仿宋_GB2312"/>
          <w:sz w:val="24"/>
        </w:rPr>
        <w:t>起草任务由</w:t>
      </w:r>
      <w:r>
        <w:rPr>
          <w:rFonts w:hint="eastAsia" w:ascii="仿宋_GB2312" w:hAnsi="宋体" w:eastAsia="仿宋_GB2312"/>
          <w:sz w:val="24"/>
          <w:lang w:val="en-US" w:eastAsia="zh-CN"/>
        </w:rPr>
        <w:t>山西农业大学</w:t>
      </w:r>
      <w:r>
        <w:rPr>
          <w:rFonts w:hint="eastAsia" w:ascii="仿宋_GB2312" w:hAnsi="宋体" w:eastAsia="仿宋_GB2312"/>
          <w:sz w:val="24"/>
        </w:rPr>
        <w:t>李斌、侯雷平、张毅、韩玲娟、王文娇、石玉、苗妍秀、李梅兰、邢国明</w:t>
      </w:r>
      <w:r>
        <w:rPr>
          <w:rFonts w:hint="eastAsia" w:ascii="仿宋_GB2312" w:hAnsi="宋体" w:eastAsia="仿宋_GB2312"/>
          <w:sz w:val="24"/>
          <w:lang w:eastAsia="zh-CN"/>
        </w:rPr>
        <w:t>承担</w:t>
      </w:r>
      <w:r>
        <w:rPr>
          <w:rFonts w:ascii="仿宋_GB2312" w:hAnsi="宋体" w:eastAsia="仿宋_GB2312"/>
          <w:sz w:val="24"/>
        </w:rPr>
        <w:t>。</w:t>
      </w:r>
    </w:p>
    <w:p>
      <w:pPr>
        <w:spacing w:line="360" w:lineRule="auto"/>
        <w:ind w:firstLine="480" w:firstLineChars="200"/>
        <w:jc w:val="center"/>
        <w:outlineLvl w:val="1"/>
        <w:rPr>
          <w:rFonts w:ascii="仿宋_GB2312" w:hAnsi="宋体" w:eastAsia="仿宋_GB2312"/>
          <w:sz w:val="24"/>
        </w:rPr>
      </w:pPr>
      <w:r>
        <w:rPr>
          <w:rFonts w:ascii="仿宋_GB2312" w:hAnsi="宋体" w:eastAsia="仿宋_GB2312"/>
          <w:sz w:val="24"/>
        </w:rPr>
        <w:t>主要起草人信息</w:t>
      </w:r>
    </w:p>
    <w:tbl>
      <w:tblPr>
        <w:tblStyle w:val="15"/>
        <w:tblW w:w="86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993"/>
        <w:gridCol w:w="1701"/>
        <w:gridCol w:w="2694"/>
        <w:gridCol w:w="2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hint="eastAsia" w:ascii="仿宋" w:hAnsi="仿宋" w:eastAsia="仿宋" w:cs="仿宋"/>
                <w:sz w:val="24"/>
              </w:rPr>
            </w:pPr>
            <w:r>
              <w:rPr>
                <w:rFonts w:hint="eastAsia" w:ascii="仿宋" w:hAnsi="仿宋" w:eastAsia="仿宋" w:cs="仿宋"/>
                <w:sz w:val="24"/>
              </w:rPr>
              <w:t>姓名</w:t>
            </w:r>
          </w:p>
        </w:tc>
        <w:tc>
          <w:tcPr>
            <w:tcW w:w="993" w:type="dxa"/>
          </w:tcPr>
          <w:p>
            <w:pPr>
              <w:spacing w:line="400" w:lineRule="exact"/>
              <w:jc w:val="center"/>
              <w:rPr>
                <w:rFonts w:hint="eastAsia" w:ascii="仿宋" w:hAnsi="仿宋" w:eastAsia="仿宋" w:cs="仿宋"/>
                <w:sz w:val="24"/>
              </w:rPr>
            </w:pPr>
            <w:r>
              <w:rPr>
                <w:rFonts w:hint="eastAsia" w:ascii="仿宋" w:hAnsi="仿宋" w:eastAsia="仿宋" w:cs="仿宋"/>
                <w:sz w:val="24"/>
              </w:rPr>
              <w:t>性别</w:t>
            </w:r>
          </w:p>
        </w:tc>
        <w:tc>
          <w:tcPr>
            <w:tcW w:w="1701" w:type="dxa"/>
          </w:tcPr>
          <w:p>
            <w:pPr>
              <w:spacing w:line="400" w:lineRule="exact"/>
              <w:jc w:val="center"/>
              <w:rPr>
                <w:rFonts w:hint="eastAsia" w:ascii="仿宋" w:hAnsi="仿宋" w:eastAsia="仿宋" w:cs="仿宋"/>
                <w:sz w:val="24"/>
              </w:rPr>
            </w:pPr>
            <w:r>
              <w:rPr>
                <w:rFonts w:hint="eastAsia" w:ascii="仿宋" w:hAnsi="仿宋" w:eastAsia="仿宋" w:cs="仿宋"/>
                <w:sz w:val="24"/>
              </w:rPr>
              <w:t>职务/职称</w:t>
            </w:r>
          </w:p>
        </w:tc>
        <w:tc>
          <w:tcPr>
            <w:tcW w:w="2694" w:type="dxa"/>
          </w:tcPr>
          <w:p>
            <w:pPr>
              <w:spacing w:line="400" w:lineRule="exact"/>
              <w:jc w:val="center"/>
              <w:rPr>
                <w:rFonts w:hint="eastAsia" w:ascii="仿宋" w:hAnsi="仿宋" w:eastAsia="仿宋" w:cs="仿宋"/>
                <w:sz w:val="24"/>
              </w:rPr>
            </w:pPr>
            <w:r>
              <w:rPr>
                <w:rFonts w:hint="eastAsia" w:ascii="仿宋" w:hAnsi="仿宋" w:eastAsia="仿宋" w:cs="仿宋"/>
                <w:sz w:val="24"/>
              </w:rPr>
              <w:t>工作单位</w:t>
            </w:r>
          </w:p>
        </w:tc>
        <w:tc>
          <w:tcPr>
            <w:tcW w:w="2041" w:type="dxa"/>
          </w:tcPr>
          <w:p>
            <w:pPr>
              <w:spacing w:line="400" w:lineRule="exact"/>
              <w:jc w:val="center"/>
              <w:rPr>
                <w:rFonts w:hint="eastAsia" w:ascii="仿宋" w:hAnsi="仿宋" w:eastAsia="仿宋" w:cs="仿宋"/>
                <w:sz w:val="24"/>
              </w:rPr>
            </w:pPr>
            <w:r>
              <w:rPr>
                <w:rFonts w:hint="eastAsia" w:ascii="仿宋" w:hAnsi="仿宋" w:eastAsia="仿宋" w:cs="仿宋"/>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hint="eastAsia" w:ascii="仿宋" w:hAnsi="仿宋" w:eastAsia="仿宋" w:cs="仿宋"/>
                <w:lang w:val="en-US" w:eastAsia="zh-CN"/>
              </w:rPr>
            </w:pPr>
            <w:r>
              <w:rPr>
                <w:rFonts w:hint="eastAsia" w:ascii="仿宋" w:hAnsi="仿宋" w:eastAsia="仿宋" w:cs="仿宋"/>
                <w:lang w:val="en-US" w:eastAsia="zh-CN"/>
              </w:rPr>
              <w:t>李斌</w:t>
            </w:r>
          </w:p>
        </w:tc>
        <w:tc>
          <w:tcPr>
            <w:tcW w:w="993"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男</w:t>
            </w:r>
          </w:p>
        </w:tc>
        <w:tc>
          <w:tcPr>
            <w:tcW w:w="170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副教授</w:t>
            </w:r>
          </w:p>
        </w:tc>
        <w:tc>
          <w:tcPr>
            <w:tcW w:w="2694" w:type="dxa"/>
            <w:vAlign w:val="top"/>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山西农业大学</w:t>
            </w:r>
          </w:p>
        </w:tc>
        <w:tc>
          <w:tcPr>
            <w:tcW w:w="204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整体负责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hint="eastAsia" w:ascii="仿宋" w:hAnsi="仿宋" w:eastAsia="仿宋" w:cs="仿宋"/>
                <w:lang w:val="en-US" w:eastAsia="zh-CN"/>
              </w:rPr>
            </w:pPr>
            <w:r>
              <w:rPr>
                <w:rFonts w:hint="eastAsia" w:ascii="仿宋" w:hAnsi="仿宋" w:eastAsia="仿宋" w:cs="仿宋"/>
                <w:lang w:val="en-US" w:eastAsia="zh-CN"/>
              </w:rPr>
              <w:t>侯雷平</w:t>
            </w:r>
          </w:p>
        </w:tc>
        <w:tc>
          <w:tcPr>
            <w:tcW w:w="993"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男</w:t>
            </w:r>
          </w:p>
        </w:tc>
        <w:tc>
          <w:tcPr>
            <w:tcW w:w="170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教授</w:t>
            </w:r>
          </w:p>
        </w:tc>
        <w:tc>
          <w:tcPr>
            <w:tcW w:w="2694" w:type="dxa"/>
            <w:vAlign w:val="top"/>
          </w:tcPr>
          <w:p>
            <w:pPr>
              <w:spacing w:line="400" w:lineRule="exact"/>
              <w:jc w:val="center"/>
              <w:rPr>
                <w:rFonts w:hint="eastAsia" w:ascii="仿宋" w:hAnsi="仿宋" w:eastAsia="仿宋" w:cs="仿宋"/>
                <w:sz w:val="24"/>
                <w:lang w:eastAsia="zh-CN"/>
              </w:rPr>
            </w:pPr>
            <w:r>
              <w:rPr>
                <w:rFonts w:hint="eastAsia" w:ascii="仿宋" w:hAnsi="仿宋" w:eastAsia="仿宋" w:cs="仿宋"/>
                <w:sz w:val="24"/>
                <w:lang w:val="en-US" w:eastAsia="zh-CN"/>
              </w:rPr>
              <w:t>山西农业大学</w:t>
            </w:r>
          </w:p>
        </w:tc>
        <w:tc>
          <w:tcPr>
            <w:tcW w:w="204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总体指导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tcPr>
          <w:p>
            <w:pPr>
              <w:spacing w:line="400" w:lineRule="exact"/>
              <w:jc w:val="center"/>
              <w:rPr>
                <w:rFonts w:hint="eastAsia" w:ascii="仿宋" w:hAnsi="仿宋" w:eastAsia="仿宋" w:cs="仿宋"/>
                <w:lang w:val="en-US" w:eastAsia="zh-CN"/>
              </w:rPr>
            </w:pPr>
            <w:r>
              <w:rPr>
                <w:rFonts w:hint="eastAsia" w:ascii="仿宋" w:hAnsi="仿宋" w:eastAsia="仿宋" w:cs="仿宋"/>
                <w:lang w:val="en-US" w:eastAsia="zh-CN"/>
              </w:rPr>
              <w:t>张毅</w:t>
            </w:r>
          </w:p>
        </w:tc>
        <w:tc>
          <w:tcPr>
            <w:tcW w:w="993"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男</w:t>
            </w:r>
          </w:p>
        </w:tc>
        <w:tc>
          <w:tcPr>
            <w:tcW w:w="170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教授</w:t>
            </w:r>
          </w:p>
        </w:tc>
        <w:tc>
          <w:tcPr>
            <w:tcW w:w="2694" w:type="dxa"/>
            <w:vAlign w:val="top"/>
          </w:tcPr>
          <w:p>
            <w:pPr>
              <w:spacing w:line="400" w:lineRule="exact"/>
              <w:jc w:val="center"/>
              <w:rPr>
                <w:rFonts w:hint="eastAsia" w:ascii="仿宋" w:hAnsi="仿宋" w:eastAsia="仿宋" w:cs="仿宋"/>
                <w:sz w:val="24"/>
                <w:lang w:eastAsia="zh-CN"/>
              </w:rPr>
            </w:pPr>
            <w:r>
              <w:rPr>
                <w:rFonts w:hint="eastAsia" w:ascii="仿宋" w:hAnsi="仿宋" w:eastAsia="仿宋" w:cs="仿宋"/>
                <w:sz w:val="24"/>
                <w:lang w:val="en-US" w:eastAsia="zh-CN"/>
              </w:rPr>
              <w:t>山西农业大学</w:t>
            </w:r>
          </w:p>
        </w:tc>
        <w:tc>
          <w:tcPr>
            <w:tcW w:w="204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调研考察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hint="eastAsia" w:ascii="仿宋" w:hAnsi="仿宋" w:eastAsia="仿宋" w:cs="仿宋"/>
                <w:lang w:val="en-US" w:eastAsia="zh-CN"/>
              </w:rPr>
            </w:pPr>
            <w:r>
              <w:rPr>
                <w:rFonts w:hint="eastAsia" w:ascii="仿宋" w:hAnsi="仿宋" w:eastAsia="仿宋" w:cs="仿宋"/>
                <w:lang w:val="en-US" w:eastAsia="zh-CN"/>
              </w:rPr>
              <w:t>韩玲娟</w:t>
            </w:r>
          </w:p>
        </w:tc>
        <w:tc>
          <w:tcPr>
            <w:tcW w:w="993"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女</w:t>
            </w:r>
          </w:p>
        </w:tc>
        <w:tc>
          <w:tcPr>
            <w:tcW w:w="170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讲师</w:t>
            </w:r>
          </w:p>
        </w:tc>
        <w:tc>
          <w:tcPr>
            <w:tcW w:w="2694" w:type="dxa"/>
            <w:vAlign w:val="top"/>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山西农业大学</w:t>
            </w:r>
          </w:p>
        </w:tc>
        <w:tc>
          <w:tcPr>
            <w:tcW w:w="204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收集资料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hint="eastAsia" w:ascii="仿宋" w:hAnsi="仿宋" w:eastAsia="仿宋" w:cs="仿宋"/>
                <w:lang w:val="en-US" w:eastAsia="zh-CN"/>
              </w:rPr>
            </w:pPr>
            <w:r>
              <w:rPr>
                <w:rFonts w:hint="eastAsia" w:ascii="仿宋" w:hAnsi="仿宋" w:eastAsia="仿宋" w:cs="仿宋"/>
                <w:lang w:val="en-US" w:eastAsia="zh-CN"/>
              </w:rPr>
              <w:t>王文娇</w:t>
            </w:r>
          </w:p>
        </w:tc>
        <w:tc>
          <w:tcPr>
            <w:tcW w:w="993"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女</w:t>
            </w:r>
          </w:p>
        </w:tc>
        <w:tc>
          <w:tcPr>
            <w:tcW w:w="170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副教授</w:t>
            </w:r>
          </w:p>
        </w:tc>
        <w:tc>
          <w:tcPr>
            <w:tcW w:w="2694" w:type="dxa"/>
            <w:vAlign w:val="top"/>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山西农业大学</w:t>
            </w:r>
          </w:p>
        </w:tc>
        <w:tc>
          <w:tcPr>
            <w:tcW w:w="204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调研考察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hint="eastAsia" w:ascii="仿宋" w:hAnsi="仿宋" w:eastAsia="仿宋" w:cs="仿宋"/>
                <w:lang w:val="en-US" w:eastAsia="zh-CN"/>
              </w:rPr>
            </w:pPr>
            <w:r>
              <w:rPr>
                <w:rFonts w:hint="eastAsia" w:ascii="仿宋" w:hAnsi="仿宋" w:eastAsia="仿宋" w:cs="仿宋"/>
                <w:lang w:val="en-US" w:eastAsia="zh-CN"/>
              </w:rPr>
              <w:t>石玉</w:t>
            </w:r>
          </w:p>
        </w:tc>
        <w:tc>
          <w:tcPr>
            <w:tcW w:w="993"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女</w:t>
            </w:r>
          </w:p>
        </w:tc>
        <w:tc>
          <w:tcPr>
            <w:tcW w:w="170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副教授</w:t>
            </w:r>
          </w:p>
        </w:tc>
        <w:tc>
          <w:tcPr>
            <w:tcW w:w="2694" w:type="dxa"/>
            <w:vAlign w:val="top"/>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山西农业大学</w:t>
            </w:r>
          </w:p>
        </w:tc>
        <w:tc>
          <w:tcPr>
            <w:tcW w:w="2041" w:type="dxa"/>
          </w:tcPr>
          <w:p>
            <w:pPr>
              <w:spacing w:line="400" w:lineRule="exact"/>
              <w:jc w:val="center"/>
              <w:rPr>
                <w:rFonts w:hint="eastAsia" w:ascii="仿宋" w:hAnsi="仿宋" w:eastAsia="仿宋" w:cs="仿宋"/>
                <w:sz w:val="24"/>
              </w:rPr>
            </w:pPr>
            <w:r>
              <w:rPr>
                <w:rFonts w:hint="eastAsia" w:ascii="仿宋" w:hAnsi="仿宋" w:eastAsia="仿宋" w:cs="仿宋"/>
                <w:sz w:val="24"/>
                <w:lang w:val="en-US" w:eastAsia="zh-CN"/>
              </w:rPr>
              <w:t>修订文本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tcPr>
          <w:p>
            <w:pPr>
              <w:spacing w:line="400" w:lineRule="exact"/>
              <w:jc w:val="center"/>
              <w:rPr>
                <w:rFonts w:hint="eastAsia" w:ascii="仿宋" w:hAnsi="仿宋" w:eastAsia="仿宋" w:cs="仿宋"/>
                <w:lang w:val="en-US" w:eastAsia="zh-CN"/>
              </w:rPr>
            </w:pPr>
            <w:r>
              <w:rPr>
                <w:rFonts w:hint="eastAsia" w:ascii="仿宋" w:hAnsi="仿宋" w:eastAsia="仿宋" w:cs="仿宋"/>
                <w:lang w:val="en-US" w:eastAsia="zh-CN"/>
              </w:rPr>
              <w:t>苗妍秀</w:t>
            </w:r>
          </w:p>
        </w:tc>
        <w:tc>
          <w:tcPr>
            <w:tcW w:w="993"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女</w:t>
            </w:r>
          </w:p>
        </w:tc>
        <w:tc>
          <w:tcPr>
            <w:tcW w:w="170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副教授</w:t>
            </w:r>
          </w:p>
        </w:tc>
        <w:tc>
          <w:tcPr>
            <w:tcW w:w="2694" w:type="dxa"/>
            <w:vAlign w:val="top"/>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山西农业大学</w:t>
            </w:r>
          </w:p>
        </w:tc>
        <w:tc>
          <w:tcPr>
            <w:tcW w:w="2041" w:type="dxa"/>
          </w:tcPr>
          <w:p>
            <w:pPr>
              <w:spacing w:line="400" w:lineRule="exact"/>
              <w:jc w:val="center"/>
              <w:rPr>
                <w:rFonts w:hint="eastAsia" w:ascii="仿宋" w:hAnsi="仿宋" w:eastAsia="仿宋" w:cs="仿宋"/>
                <w:sz w:val="24"/>
              </w:rPr>
            </w:pPr>
            <w:r>
              <w:rPr>
                <w:rFonts w:hint="eastAsia" w:ascii="仿宋" w:hAnsi="仿宋" w:eastAsia="仿宋" w:cs="仿宋"/>
                <w:sz w:val="24"/>
                <w:lang w:val="en-US" w:eastAsia="zh-CN"/>
              </w:rPr>
              <w:t>修订文本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hint="eastAsia" w:ascii="仿宋" w:hAnsi="仿宋" w:eastAsia="仿宋" w:cs="仿宋"/>
                <w:lang w:val="en-US" w:eastAsia="zh-CN"/>
              </w:rPr>
            </w:pPr>
            <w:r>
              <w:rPr>
                <w:rFonts w:hint="eastAsia" w:ascii="仿宋" w:hAnsi="仿宋" w:eastAsia="仿宋" w:cs="仿宋"/>
                <w:lang w:val="en-US" w:eastAsia="zh-CN"/>
              </w:rPr>
              <w:t>李梅兰</w:t>
            </w:r>
          </w:p>
        </w:tc>
        <w:tc>
          <w:tcPr>
            <w:tcW w:w="993"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女</w:t>
            </w:r>
          </w:p>
        </w:tc>
        <w:tc>
          <w:tcPr>
            <w:tcW w:w="170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教授</w:t>
            </w:r>
          </w:p>
        </w:tc>
        <w:tc>
          <w:tcPr>
            <w:tcW w:w="2694" w:type="dxa"/>
            <w:vAlign w:val="top"/>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山西农业大学</w:t>
            </w:r>
          </w:p>
        </w:tc>
        <w:tc>
          <w:tcPr>
            <w:tcW w:w="204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调研考察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hint="eastAsia" w:ascii="仿宋" w:hAnsi="仿宋" w:eastAsia="仿宋" w:cs="仿宋"/>
                <w:lang w:val="en-US" w:eastAsia="zh-CN"/>
              </w:rPr>
            </w:pPr>
            <w:r>
              <w:rPr>
                <w:rFonts w:hint="eastAsia" w:ascii="仿宋" w:hAnsi="仿宋" w:eastAsia="仿宋" w:cs="仿宋"/>
                <w:lang w:val="en-US" w:eastAsia="zh-CN"/>
              </w:rPr>
              <w:t>形国明</w:t>
            </w:r>
          </w:p>
        </w:tc>
        <w:tc>
          <w:tcPr>
            <w:tcW w:w="993"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男</w:t>
            </w:r>
          </w:p>
        </w:tc>
        <w:tc>
          <w:tcPr>
            <w:tcW w:w="170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教授</w:t>
            </w:r>
          </w:p>
        </w:tc>
        <w:tc>
          <w:tcPr>
            <w:tcW w:w="2694" w:type="dxa"/>
            <w:vAlign w:val="top"/>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山西农业大学</w:t>
            </w:r>
          </w:p>
        </w:tc>
        <w:tc>
          <w:tcPr>
            <w:tcW w:w="204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标准顾问</w:t>
            </w:r>
          </w:p>
        </w:tc>
      </w:tr>
    </w:tbl>
    <w:p>
      <w:pPr>
        <w:spacing w:line="360" w:lineRule="auto"/>
        <w:ind w:firstLine="480" w:firstLineChars="200"/>
        <w:outlineLvl w:val="0"/>
        <w:rPr>
          <w:rFonts w:ascii="楷体" w:hAnsi="楷体" w:eastAsia="楷体" w:cs="Courier New"/>
          <w:sz w:val="28"/>
          <w:szCs w:val="28"/>
        </w:rPr>
      </w:pPr>
      <w:r>
        <w:rPr>
          <w:rFonts w:ascii="黑体" w:eastAsia="黑体"/>
          <w:sz w:val="24"/>
        </w:rPr>
        <w:t>二、</w:t>
      </w:r>
      <w:r>
        <w:rPr>
          <w:rFonts w:hint="eastAsia" w:ascii="黑体" w:eastAsia="黑体"/>
          <w:sz w:val="24"/>
        </w:rPr>
        <w:t>修</w:t>
      </w:r>
      <w:r>
        <w:rPr>
          <w:rFonts w:ascii="黑体" w:eastAsia="黑体"/>
          <w:sz w:val="24"/>
        </w:rPr>
        <w:t>订标准的必要性和意义</w:t>
      </w:r>
    </w:p>
    <w:p>
      <w:pPr>
        <w:keepNext w:val="0"/>
        <w:keepLines w:val="0"/>
        <w:pageBreakBefore w:val="0"/>
        <w:widowControl w:val="0"/>
        <w:kinsoku/>
        <w:wordWrap/>
        <w:overflowPunct/>
        <w:topLinePunct w:val="0"/>
        <w:autoSpaceDE/>
        <w:autoSpaceDN/>
        <w:bidi w:val="0"/>
        <w:adjustRightInd/>
        <w:snapToGrid w:val="0"/>
        <w:spacing w:before="157" w:beforeLines="50" w:line="360" w:lineRule="auto"/>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温室大棚等设施蔬菜生产中，气体交换受到限制，一天内的CO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lang w:val="en-US" w:eastAsia="zh-CN"/>
        </w:rPr>
        <w:t>浓度变化幅度较大，有时达不到光合作用所需的二氧化碳浓度要求，常处于亏缺状态，严重影响蔬菜的光合作用和生长发育。在温室大棚日常管理中，还需要及时通风降温，这会导致CO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lang w:val="en-US" w:eastAsia="zh-CN"/>
        </w:rPr>
        <w:t>气肥发生逃逸现象。此外，设施生产中，由于不同蔬菜作物对CO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lang w:val="en-US" w:eastAsia="zh-CN"/>
        </w:rPr>
        <w:t>的饱和点不同，植物生长期的差异，天气的变化以及肥水管理的差异等，都会导致CO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lang w:val="en-US" w:eastAsia="zh-CN"/>
        </w:rPr>
        <w:t>的需求差异，另外CO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lang w:val="en-US" w:eastAsia="zh-CN"/>
        </w:rPr>
        <w:t>肥料来源较多，因此，生产中很容易出现CO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lang w:val="en-US" w:eastAsia="zh-CN"/>
        </w:rPr>
        <w:t>施肥的乱象，不能够合理规范的利用CO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lang w:val="en-US" w:eastAsia="zh-CN"/>
        </w:rPr>
        <w:t>，不利于CO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lang w:val="en-US" w:eastAsia="zh-CN"/>
        </w:rPr>
        <w:t>节能减排和设施蔬菜产业的发展。</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由于现阶段温室大棚的发展朝着大型化、机械化、自动化、智能化方向发展，结合发展实际情况，进一步规范和升级山西省温室大棚等设施生产中CO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lang w:val="en-US" w:eastAsia="zh-CN"/>
        </w:rPr>
        <w:t>施肥的技术，科学合理的利用CO</w:t>
      </w:r>
      <w:r>
        <w:rPr>
          <w:rFonts w:hint="default" w:ascii="Times New Roman" w:hAnsi="Times New Roman" w:eastAsia="仿宋" w:cs="Times New Roman"/>
          <w:sz w:val="24"/>
          <w:szCs w:val="24"/>
          <w:vertAlign w:val="subscript"/>
          <w:lang w:val="en-US" w:eastAsia="zh-CN"/>
        </w:rPr>
        <w:t>2</w:t>
      </w:r>
      <w:r>
        <w:rPr>
          <w:rFonts w:hint="default" w:ascii="Times New Roman" w:hAnsi="Times New Roman" w:eastAsia="仿宋" w:cs="Times New Roman"/>
          <w:sz w:val="24"/>
          <w:szCs w:val="24"/>
          <w:lang w:val="en-US" w:eastAsia="zh-CN"/>
        </w:rPr>
        <w:t>气肥，特申请整合修订适合现阶段的设施蔬菜二氧化碳施肥的技术标准。</w:t>
      </w:r>
    </w:p>
    <w:p>
      <w:pPr>
        <w:spacing w:line="360" w:lineRule="auto"/>
        <w:ind w:firstLine="480" w:firstLineChars="200"/>
        <w:outlineLvl w:val="0"/>
        <w:rPr>
          <w:rFonts w:ascii="黑体" w:eastAsia="黑体"/>
          <w:sz w:val="24"/>
        </w:rPr>
      </w:pPr>
      <w:r>
        <w:rPr>
          <w:rFonts w:ascii="黑体" w:eastAsia="黑体"/>
          <w:sz w:val="24"/>
        </w:rPr>
        <w:t>三、主要</w:t>
      </w:r>
      <w:r>
        <w:rPr>
          <w:rFonts w:hint="eastAsia" w:ascii="黑体" w:eastAsia="黑体"/>
          <w:sz w:val="24"/>
        </w:rPr>
        <w:t>修订</w:t>
      </w:r>
      <w:r>
        <w:rPr>
          <w:rFonts w:ascii="黑体" w:eastAsia="黑体"/>
          <w:sz w:val="24"/>
        </w:rPr>
        <w:t>工作过程</w:t>
      </w:r>
    </w:p>
    <w:p>
      <w:pPr>
        <w:spacing w:line="400" w:lineRule="exact"/>
        <w:ind w:firstLine="480" w:firstLineChars="200"/>
        <w:rPr>
          <w:rFonts w:eastAsia="仿宋_GB2312"/>
          <w:bCs/>
          <w:sz w:val="24"/>
        </w:rPr>
      </w:pPr>
      <w:r>
        <w:rPr>
          <w:rFonts w:hint="eastAsia" w:eastAsia="仿宋_GB2312"/>
          <w:bCs/>
          <w:sz w:val="24"/>
        </w:rPr>
        <w:t>1、成立标准修订工作组</w:t>
      </w:r>
    </w:p>
    <w:p>
      <w:pPr>
        <w:spacing w:line="360" w:lineRule="auto"/>
        <w:ind w:firstLine="480" w:firstLineChars="200"/>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接到项目任务以后，我们积极组织技术骨干成立《设施蔬菜二氧化碳施肥技术规程》修订工作组，工作组成员具有较丰富的专业知识和实践经验，熟悉业务，了解标准化工作的相关规定并具有较强的文字表达能力。工作组成立后，认真学习了GB/T 1.1—2020《标准化工作导则 第1部分：标准化文件的结构和起草规则》，并查阅了相关的国家标准与地方标准，制定了工作计划，明确了内部分工及进度要求，责任落实到人。</w:t>
      </w:r>
    </w:p>
    <w:p>
      <w:pPr>
        <w:spacing w:line="400" w:lineRule="exact"/>
        <w:ind w:firstLine="480" w:firstLineChars="200"/>
        <w:rPr>
          <w:rFonts w:eastAsia="仿宋_GB2312"/>
          <w:bCs/>
          <w:sz w:val="24"/>
        </w:rPr>
      </w:pPr>
      <w:r>
        <w:rPr>
          <w:rFonts w:hint="eastAsia" w:eastAsia="仿宋_GB2312"/>
          <w:bCs/>
          <w:sz w:val="24"/>
        </w:rPr>
        <w:t>2、调研考察</w:t>
      </w:r>
    </w:p>
    <w:p>
      <w:pPr>
        <w:spacing w:line="360" w:lineRule="auto"/>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为了解山西省温室大棚CO</w:t>
      </w:r>
      <w:r>
        <w:rPr>
          <w:rFonts w:hint="eastAsia" w:ascii="Times New Roman" w:hAnsi="Times New Roman" w:eastAsia="仿宋" w:cs="Times New Roman"/>
          <w:sz w:val="24"/>
          <w:szCs w:val="24"/>
          <w:vertAlign w:val="subscript"/>
          <w:lang w:val="en-US" w:eastAsia="zh-CN"/>
        </w:rPr>
        <w:t>2</w:t>
      </w:r>
      <w:r>
        <w:rPr>
          <w:rFonts w:hint="eastAsia" w:ascii="Times New Roman" w:hAnsi="Times New Roman" w:eastAsia="仿宋" w:cs="Times New Roman"/>
          <w:sz w:val="24"/>
          <w:szCs w:val="24"/>
          <w:lang w:val="en-US" w:eastAsia="zh-CN"/>
        </w:rPr>
        <w:t>施肥技术现状，规程起草组组织相关人员，于2022年5月份至今，分赴省内运城、吕梁、长治、阳泉、晋中、临汾和忻州等多个地方进行调研，广泛听取相关部门和农户的意见和建议，充分了解了目前设施蔬菜生产中CO</w:t>
      </w:r>
      <w:r>
        <w:rPr>
          <w:rFonts w:hint="eastAsia" w:ascii="Times New Roman" w:hAnsi="Times New Roman" w:eastAsia="仿宋" w:cs="Times New Roman"/>
          <w:sz w:val="24"/>
          <w:szCs w:val="24"/>
          <w:vertAlign w:val="subscript"/>
          <w:lang w:val="en-US" w:eastAsia="zh-CN"/>
        </w:rPr>
        <w:t>2</w:t>
      </w:r>
      <w:r>
        <w:rPr>
          <w:rFonts w:hint="eastAsia" w:ascii="Times New Roman" w:hAnsi="Times New Roman" w:eastAsia="仿宋" w:cs="Times New Roman"/>
          <w:sz w:val="24"/>
          <w:szCs w:val="24"/>
          <w:lang w:val="en-US" w:eastAsia="zh-CN"/>
        </w:rPr>
        <w:t>施肥技术的发展现状和存在的问题。</w:t>
      </w:r>
    </w:p>
    <w:p>
      <w:pPr>
        <w:spacing w:line="360" w:lineRule="auto"/>
        <w:ind w:firstLine="480" w:firstLineChars="200"/>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3、收集资料</w:t>
      </w:r>
    </w:p>
    <w:p>
      <w:pPr>
        <w:spacing w:line="360" w:lineRule="auto"/>
        <w:ind w:firstLine="480" w:firstLineChars="200"/>
        <w:jc w:val="left"/>
        <w:rPr>
          <w:rFonts w:eastAsia="仿宋_GB2312"/>
          <w:sz w:val="24"/>
        </w:rPr>
      </w:pPr>
      <w:r>
        <w:rPr>
          <w:rFonts w:hint="eastAsia" w:eastAsia="仿宋_GB2312"/>
          <w:sz w:val="24"/>
          <w:lang w:val="en-US" w:eastAsia="zh-CN"/>
        </w:rPr>
        <w:t>通过</w:t>
      </w:r>
      <w:r>
        <w:rPr>
          <w:rFonts w:hint="eastAsia" w:eastAsia="仿宋_GB2312"/>
          <w:sz w:val="24"/>
        </w:rPr>
        <w:t>查阅文献，收集相关的国家、行业和地方标准，</w:t>
      </w:r>
      <w:r>
        <w:rPr>
          <w:rFonts w:hint="eastAsia" w:eastAsia="仿宋_GB2312"/>
          <w:sz w:val="24"/>
          <w:lang w:val="en-US" w:eastAsia="zh-CN"/>
        </w:rPr>
        <w:t>工作组</w:t>
      </w:r>
      <w:r>
        <w:rPr>
          <w:rFonts w:hint="eastAsia" w:eastAsia="仿宋_GB2312"/>
          <w:sz w:val="24"/>
        </w:rPr>
        <w:t>充分讨论后结合近年的田间实施、试验数据撰写修订稿。</w:t>
      </w:r>
    </w:p>
    <w:p>
      <w:pPr>
        <w:spacing w:line="400" w:lineRule="exact"/>
        <w:ind w:firstLine="480" w:firstLineChars="200"/>
        <w:rPr>
          <w:rFonts w:eastAsia="仿宋_GB2312"/>
          <w:bCs/>
          <w:sz w:val="24"/>
        </w:rPr>
      </w:pPr>
      <w:r>
        <w:rPr>
          <w:rFonts w:hint="eastAsia" w:eastAsia="仿宋_GB2312"/>
          <w:bCs/>
          <w:sz w:val="24"/>
        </w:rPr>
        <w:t>4、修订文本</w:t>
      </w:r>
    </w:p>
    <w:p>
      <w:pPr>
        <w:spacing w:line="400" w:lineRule="exact"/>
        <w:ind w:firstLine="480" w:firstLineChars="200"/>
        <w:rPr>
          <w:rFonts w:eastAsia="仿宋_GB2312"/>
          <w:bCs/>
          <w:sz w:val="24"/>
        </w:rPr>
      </w:pPr>
      <w:r>
        <w:rPr>
          <w:rFonts w:hint="eastAsia" w:eastAsia="仿宋_GB2312"/>
          <w:sz w:val="24"/>
        </w:rPr>
        <w:t>根据标委会的要求认真修订文本，并发出征求意见表，形成征求意见稿的本文和编制说明。</w:t>
      </w:r>
    </w:p>
    <w:p>
      <w:pPr>
        <w:spacing w:line="400" w:lineRule="exact"/>
        <w:ind w:firstLine="480" w:firstLineChars="200"/>
        <w:rPr>
          <w:rFonts w:eastAsia="仿宋_GB2312"/>
          <w:bCs/>
          <w:sz w:val="24"/>
        </w:rPr>
      </w:pPr>
      <w:r>
        <w:rPr>
          <w:rFonts w:hint="eastAsia" w:eastAsia="仿宋_GB2312"/>
          <w:bCs/>
          <w:sz w:val="24"/>
        </w:rPr>
        <w:t>5、技术评审</w:t>
      </w:r>
    </w:p>
    <w:p>
      <w:pPr>
        <w:spacing w:line="400" w:lineRule="exact"/>
        <w:ind w:firstLine="480" w:firstLineChars="200"/>
        <w:rPr>
          <w:rFonts w:hint="eastAsia" w:eastAsia="仿宋_GB2312"/>
          <w:bCs/>
          <w:sz w:val="24"/>
          <w:lang w:val="en-US" w:eastAsia="zh-CN"/>
        </w:rPr>
      </w:pPr>
      <w:r>
        <w:rPr>
          <w:rFonts w:eastAsia="仿宋_GB2312"/>
          <w:bCs/>
          <w:sz w:val="24"/>
        </w:rPr>
        <w:t>2024年</w:t>
      </w:r>
      <w:r>
        <w:rPr>
          <w:rFonts w:hint="eastAsia" w:eastAsia="仿宋_GB2312"/>
          <w:bCs/>
          <w:sz w:val="24"/>
          <w:lang w:val="en-US" w:eastAsia="zh-CN"/>
        </w:rPr>
        <w:t>3</w:t>
      </w:r>
      <w:r>
        <w:rPr>
          <w:rFonts w:eastAsia="仿宋_GB2312"/>
          <w:bCs/>
          <w:sz w:val="24"/>
        </w:rPr>
        <w:t>月</w:t>
      </w:r>
      <w:r>
        <w:rPr>
          <w:rFonts w:hint="eastAsia" w:eastAsia="仿宋_GB2312"/>
          <w:bCs/>
          <w:sz w:val="24"/>
          <w:lang w:val="en-US" w:eastAsia="zh-CN"/>
        </w:rPr>
        <w:t>23</w:t>
      </w:r>
      <w:r>
        <w:rPr>
          <w:rFonts w:eastAsia="仿宋_GB2312"/>
          <w:bCs/>
          <w:sz w:val="24"/>
        </w:rPr>
        <w:t>日，</w:t>
      </w:r>
      <w:r>
        <w:rPr>
          <w:rFonts w:hint="eastAsia" w:eastAsia="仿宋_GB2312"/>
          <w:bCs/>
          <w:sz w:val="24"/>
        </w:rPr>
        <w:t>标委会对标准文本和编制说明进行评审。</w:t>
      </w:r>
    </w:p>
    <w:p>
      <w:pPr>
        <w:numPr>
          <w:ilvl w:val="0"/>
          <w:numId w:val="3"/>
        </w:num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征求意见</w:t>
      </w:r>
    </w:p>
    <w:p>
      <w:pPr>
        <w:numPr>
          <w:ilvl w:val="0"/>
          <w:numId w:val="0"/>
        </w:numPr>
        <w:spacing w:line="400" w:lineRule="exact"/>
        <w:rPr>
          <w:rFonts w:hint="default" w:eastAsia="仿宋_GB2312"/>
          <w:bCs/>
          <w:sz w:val="24"/>
          <w:lang w:val="en-US" w:eastAsia="zh-CN"/>
        </w:rPr>
      </w:pPr>
      <w:r>
        <w:rPr>
          <w:rFonts w:hint="eastAsia" w:eastAsia="仿宋_GB2312"/>
          <w:bCs/>
          <w:sz w:val="24"/>
          <w:lang w:val="en-US" w:eastAsia="zh-CN"/>
        </w:rPr>
        <w:t xml:space="preserve">    </w:t>
      </w:r>
      <w:r>
        <w:rPr>
          <w:rFonts w:hint="eastAsia" w:eastAsia="仿宋_GB2312"/>
          <w:bCs/>
          <w:sz w:val="24"/>
        </w:rPr>
        <w:t>评审后，报省市场监督管理局挂网向社会公开征求意见1个月。</w:t>
      </w:r>
    </w:p>
    <w:p>
      <w:pPr>
        <w:numPr>
          <w:ilvl w:val="0"/>
          <w:numId w:val="3"/>
        </w:num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完善文本</w:t>
      </w:r>
    </w:p>
    <w:p>
      <w:pPr>
        <w:numPr>
          <w:ilvl w:val="0"/>
          <w:numId w:val="0"/>
        </w:numPr>
        <w:spacing w:line="400" w:lineRule="exact"/>
        <w:ind w:firstLine="480" w:firstLineChars="200"/>
        <w:rPr>
          <w:rFonts w:hint="default" w:eastAsia="仿宋_GB2312"/>
          <w:bCs/>
          <w:sz w:val="24"/>
          <w:lang w:val="en-US" w:eastAsia="zh-CN"/>
        </w:rPr>
      </w:pPr>
      <w:r>
        <w:rPr>
          <w:rFonts w:hint="eastAsia" w:eastAsia="仿宋_GB2312"/>
          <w:bCs/>
          <w:sz w:val="24"/>
        </w:rPr>
        <w:t>进一步修改完善后形成标准送审稿，</w:t>
      </w:r>
      <w:r>
        <w:rPr>
          <w:rFonts w:eastAsia="仿宋_GB2312"/>
          <w:bCs/>
          <w:sz w:val="24"/>
        </w:rPr>
        <w:t>2024年</w:t>
      </w:r>
      <w:r>
        <w:rPr>
          <w:rFonts w:hint="eastAsia" w:eastAsia="仿宋_GB2312"/>
          <w:bCs/>
          <w:sz w:val="24"/>
          <w:lang w:val="en-US" w:eastAsia="zh-CN"/>
        </w:rPr>
        <w:t>5</w:t>
      </w:r>
      <w:r>
        <w:rPr>
          <w:rFonts w:eastAsia="仿宋_GB2312"/>
          <w:bCs/>
          <w:sz w:val="24"/>
        </w:rPr>
        <w:t>月，</w:t>
      </w:r>
      <w:r>
        <w:rPr>
          <w:rFonts w:hint="eastAsia" w:eastAsia="仿宋_GB2312"/>
          <w:bCs/>
          <w:sz w:val="24"/>
        </w:rPr>
        <w:t>标委会表决。</w:t>
      </w:r>
    </w:p>
    <w:p>
      <w:pPr>
        <w:numPr>
          <w:ilvl w:val="0"/>
          <w:numId w:val="3"/>
        </w:num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形成报批稿、提交报批材料</w:t>
      </w:r>
    </w:p>
    <w:p>
      <w:pPr>
        <w:numPr>
          <w:ilvl w:val="0"/>
          <w:numId w:val="0"/>
        </w:numPr>
        <w:spacing w:line="400" w:lineRule="exact"/>
        <w:ind w:firstLine="480" w:firstLineChars="200"/>
        <w:rPr>
          <w:rFonts w:hint="default" w:eastAsia="仿宋_GB2312"/>
          <w:bCs/>
          <w:sz w:val="24"/>
          <w:lang w:val="en-US" w:eastAsia="zh-CN"/>
        </w:rPr>
      </w:pPr>
      <w:r>
        <w:rPr>
          <w:rFonts w:eastAsia="仿宋_GB2312"/>
          <w:bCs/>
          <w:sz w:val="24"/>
        </w:rPr>
        <w:t>根据评审意见，起草组内部集体讨论，并充分采纳专家组意见，形成正式的标准</w:t>
      </w:r>
      <w:r>
        <w:rPr>
          <w:rFonts w:hint="eastAsia" w:eastAsia="仿宋_GB2312"/>
          <w:bCs/>
          <w:sz w:val="24"/>
        </w:rPr>
        <w:t>报批稿、提交报批材料。</w:t>
      </w:r>
    </w:p>
    <w:p>
      <w:pPr>
        <w:spacing w:line="360" w:lineRule="auto"/>
        <w:ind w:firstLine="480" w:firstLineChars="200"/>
        <w:outlineLvl w:val="0"/>
        <w:rPr>
          <w:rFonts w:ascii="黑体" w:eastAsia="黑体"/>
          <w:sz w:val="24"/>
        </w:rPr>
      </w:pPr>
      <w:r>
        <w:rPr>
          <w:rFonts w:hint="eastAsia" w:ascii="黑体" w:eastAsia="黑体"/>
          <w:sz w:val="24"/>
        </w:rPr>
        <w:t>四</w:t>
      </w:r>
      <w:r>
        <w:rPr>
          <w:rFonts w:ascii="黑体" w:eastAsia="黑体"/>
          <w:sz w:val="24"/>
        </w:rPr>
        <w:t>、</w:t>
      </w:r>
      <w:r>
        <w:rPr>
          <w:rFonts w:hint="eastAsia" w:ascii="黑体" w:eastAsia="黑体"/>
          <w:sz w:val="24"/>
          <w:lang w:eastAsia="zh-CN"/>
        </w:rPr>
        <w:t>制修</w:t>
      </w:r>
      <w:r>
        <w:rPr>
          <w:rFonts w:ascii="黑体" w:eastAsia="黑体"/>
          <w:sz w:val="24"/>
        </w:rPr>
        <w:t>订标准的原则和依据，与现行法律、法规、标准的关系</w:t>
      </w:r>
    </w:p>
    <w:p>
      <w:pPr>
        <w:spacing w:line="400" w:lineRule="exact"/>
        <w:ind w:firstLine="481" w:firstLineChars="200"/>
        <w:rPr>
          <w:rFonts w:hint="eastAsia" w:eastAsia="仿宋_GB2312"/>
          <w:b/>
          <w:bCs w:val="0"/>
          <w:sz w:val="24"/>
          <w:lang w:val="en-US" w:eastAsia="zh-CN"/>
        </w:rPr>
      </w:pPr>
      <w:r>
        <w:rPr>
          <w:rFonts w:hint="eastAsia" w:eastAsia="仿宋_GB2312"/>
          <w:b/>
          <w:bCs w:val="0"/>
          <w:sz w:val="24"/>
          <w:lang w:val="en-US" w:eastAsia="zh-CN"/>
        </w:rPr>
        <w:t>（一）修订时坚持的主要原则</w:t>
      </w:r>
    </w:p>
    <w:p>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1.科学性</w:t>
      </w:r>
    </w:p>
    <w:p>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本规程相关内容是项目组成员多年来各类科研项目以及调查研究的部分内容，是通过研究、调查、试验等形成的相关内容，并经过多次的试验验证和反复修正，标准征求意见稿、初审稿、送审稿、编制说明经历我省同行专家评审、标准起草工作组内部会议修订，最终形成的本规程，技术参数可靠。</w:t>
      </w:r>
    </w:p>
    <w:p>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2.适用性</w:t>
      </w:r>
    </w:p>
    <w:p>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本规程结合了山西省境内不同地区、不同设施类型、不同栽培茬口以及不同管理措施等实际，规定了设施蔬菜生产中CO</w:t>
      </w:r>
      <w:r>
        <w:rPr>
          <w:rFonts w:hint="eastAsia" w:eastAsia="仿宋_GB2312"/>
          <w:bCs/>
          <w:sz w:val="24"/>
          <w:vertAlign w:val="subscript"/>
          <w:lang w:val="en-US" w:eastAsia="zh-CN"/>
        </w:rPr>
        <w:t>2</w:t>
      </w:r>
      <w:r>
        <w:rPr>
          <w:rFonts w:hint="eastAsia" w:eastAsia="仿宋_GB2312"/>
          <w:bCs/>
          <w:sz w:val="24"/>
          <w:lang w:val="en-US" w:eastAsia="zh-CN"/>
        </w:rPr>
        <w:t>施肥浓度、施肥时期、施肥方法以及施肥注意事项等主要技术环节，具有较强的适用性。</w:t>
      </w:r>
    </w:p>
    <w:p>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3.可操作性</w:t>
      </w:r>
    </w:p>
    <w:p>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本规程在制定过程中，坚持从山西省设施蔬菜栽培的生产实际出发，进行了系统性和规范性的总结，并注重细节和可操作性，力求轻简化，广大使用者看得见、用得上，操作方便。</w:t>
      </w:r>
    </w:p>
    <w:p>
      <w:pPr>
        <w:autoSpaceDE w:val="0"/>
        <w:autoSpaceDN w:val="0"/>
        <w:adjustRightInd w:val="0"/>
        <w:spacing w:line="360" w:lineRule="auto"/>
        <w:ind w:firstLine="480" w:firstLineChars="200"/>
        <w:jc w:val="left"/>
        <w:rPr>
          <w:rFonts w:hint="eastAsia"/>
          <w:lang w:val="en-US" w:eastAsia="zh-CN"/>
        </w:rPr>
      </w:pPr>
      <w:r>
        <w:rPr>
          <w:rFonts w:hint="eastAsia" w:eastAsia="仿宋_GB2312"/>
          <w:sz w:val="24"/>
        </w:rPr>
        <w:t>4</w:t>
      </w:r>
      <w:r>
        <w:rPr>
          <w:rFonts w:eastAsia="仿宋_GB2312"/>
          <w:sz w:val="24"/>
        </w:rPr>
        <w:t>.</w:t>
      </w:r>
      <w:r>
        <w:rPr>
          <w:rFonts w:hint="eastAsia" w:eastAsia="仿宋_GB2312"/>
          <w:sz w:val="24"/>
        </w:rPr>
        <w:t>合法性、安全性、协调性 规程制定过程中，严格按照标准法，并注重农艺措施的安全性，协调生产环节。</w:t>
      </w:r>
    </w:p>
    <w:p>
      <w:pPr>
        <w:ind w:firstLine="481" w:firstLineChars="200"/>
        <w:rPr>
          <w:rFonts w:eastAsia="仿宋_GB2312"/>
          <w:b/>
          <w:bCs/>
          <w:sz w:val="24"/>
        </w:rPr>
      </w:pPr>
      <w:r>
        <w:rPr>
          <w:rFonts w:eastAsia="仿宋_GB2312"/>
          <w:b/>
          <w:bCs/>
          <w:sz w:val="24"/>
        </w:rPr>
        <w:t>（</w:t>
      </w:r>
      <w:r>
        <w:rPr>
          <w:rFonts w:hint="eastAsia" w:eastAsia="仿宋_GB2312"/>
          <w:b/>
          <w:bCs/>
          <w:sz w:val="24"/>
        </w:rPr>
        <w:t>二</w:t>
      </w:r>
      <w:r>
        <w:rPr>
          <w:rFonts w:eastAsia="仿宋_GB2312"/>
          <w:b/>
          <w:bCs/>
          <w:sz w:val="24"/>
        </w:rPr>
        <w:t>）编制时坚持的主要</w:t>
      </w:r>
      <w:r>
        <w:rPr>
          <w:rFonts w:hint="eastAsia" w:eastAsia="仿宋_GB2312"/>
          <w:b/>
          <w:bCs/>
          <w:sz w:val="24"/>
        </w:rPr>
        <w:t>依据</w:t>
      </w:r>
    </w:p>
    <w:p>
      <w:pPr>
        <w:spacing w:line="360" w:lineRule="auto"/>
        <w:ind w:firstLine="480" w:firstLineChars="200"/>
        <w:rPr>
          <w:rFonts w:eastAsia="仿宋_GB2312"/>
          <w:sz w:val="24"/>
        </w:rPr>
      </w:pPr>
      <w:r>
        <w:rPr>
          <w:rFonts w:hint="eastAsia" w:eastAsia="仿宋_GB2312"/>
          <w:sz w:val="24"/>
        </w:rPr>
        <w:t>标准起草小组承担了山西省现代蔬菜产业技术体系、山西省煤基重大科技攻关项目“设施蔬菜高效固碳技术研究与示范”（项目编号：461502001）、山西省政府债券资金支持高校建设项目“设施蔬菜绿色生产关键技术体系研究”、山西省农业技术推广示范行动项目“设施蔬菜绿色生产集成技术示范”（项目编号：SNJTGSFXD201304）、山西省科技攻关项目“日光温室瓜果类蔬菜有机栽培关键技术研究”（项目编号：20140311011-4）等科研项目和推广示范项目，通过项目研究和应用示范，系统总结了日光温室环境调控中CO</w:t>
      </w:r>
      <w:r>
        <w:rPr>
          <w:rFonts w:hint="eastAsia" w:eastAsia="仿宋_GB2312"/>
          <w:sz w:val="24"/>
          <w:vertAlign w:val="subscript"/>
        </w:rPr>
        <w:t>2</w:t>
      </w:r>
      <w:r>
        <w:rPr>
          <w:rFonts w:hint="eastAsia" w:eastAsia="仿宋_GB2312"/>
          <w:sz w:val="24"/>
        </w:rPr>
        <w:t>施肥的方法、施肥浓度和施肥时期等，为制定本标准奠定了基础。</w:t>
      </w:r>
    </w:p>
    <w:p>
      <w:pPr>
        <w:pStyle w:val="8"/>
        <w:spacing w:after="0" w:line="360" w:lineRule="auto"/>
        <w:ind w:firstLine="481" w:firstLineChars="200"/>
        <w:rPr>
          <w:rFonts w:ascii="楷体" w:hAnsi="楷体" w:eastAsia="楷体"/>
          <w:b/>
          <w:sz w:val="24"/>
        </w:rPr>
      </w:pPr>
      <w:bookmarkStart w:id="0" w:name="_Hlk156056011"/>
      <w:r>
        <w:rPr>
          <w:rFonts w:hint="eastAsia" w:ascii="楷体" w:hAnsi="楷体" w:eastAsia="楷体"/>
          <w:b/>
          <w:sz w:val="24"/>
        </w:rPr>
        <w:t>（三）</w:t>
      </w:r>
      <w:r>
        <w:rPr>
          <w:rFonts w:ascii="楷体" w:hAnsi="楷体" w:eastAsia="楷体"/>
          <w:b/>
          <w:sz w:val="24"/>
        </w:rPr>
        <w:t>与有关现行法律、法规</w:t>
      </w:r>
      <w:r>
        <w:rPr>
          <w:rFonts w:hint="eastAsia" w:ascii="楷体" w:hAnsi="楷体" w:eastAsia="楷体"/>
          <w:b/>
          <w:sz w:val="24"/>
          <w:lang w:val="en-US" w:eastAsia="zh-CN"/>
        </w:rPr>
        <w:t>及标准</w:t>
      </w:r>
      <w:r>
        <w:rPr>
          <w:rFonts w:ascii="楷体" w:hAnsi="楷体" w:eastAsia="楷体"/>
          <w:b/>
          <w:sz w:val="24"/>
        </w:rPr>
        <w:t>的关系</w:t>
      </w:r>
    </w:p>
    <w:bookmarkEnd w:id="0"/>
    <w:p>
      <w:pPr>
        <w:spacing w:line="360" w:lineRule="auto"/>
        <w:ind w:firstLine="480" w:firstLineChars="200"/>
        <w:rPr>
          <w:rFonts w:hint="eastAsia" w:eastAsia="仿宋_GB2312"/>
          <w:sz w:val="24"/>
        </w:rPr>
      </w:pPr>
      <w:r>
        <w:rPr>
          <w:rFonts w:hint="eastAsia" w:eastAsia="仿宋_GB2312"/>
          <w:sz w:val="24"/>
        </w:rPr>
        <w:t>本标准是从山西省日光温室环境调控及二氧化碳施肥的实际要求出发，参考相关的国家或行业标准和规范，在现行法律法规的框架内起草，执行《中华人民共和国农业技术推广法》《农业标准化管理办法》和《农业部国家（行业）标准的计划编制、制定和审查管理办法》等相关法律法规的有关规定，与现行法律法规没有矛盾或冲突。本标准的内容未涉及现行国家强制性标准。</w:t>
      </w:r>
    </w:p>
    <w:p>
      <w:pPr>
        <w:autoSpaceDE w:val="0"/>
        <w:autoSpaceDN w:val="0"/>
        <w:adjustRightInd w:val="0"/>
        <w:spacing w:before="240"/>
        <w:ind w:firstLine="440" w:firstLineChars="200"/>
        <w:jc w:val="center"/>
        <w:rPr>
          <w:rFonts w:hint="default" w:ascii="Times New Roman" w:hAnsi="Times New Roman" w:eastAsia="黑体" w:cs="Times New Roman"/>
          <w:sz w:val="22"/>
          <w:szCs w:val="22"/>
        </w:rPr>
      </w:pPr>
      <w:r>
        <w:rPr>
          <w:rFonts w:hint="default" w:ascii="Times New Roman" w:hAnsi="Times New Roman" w:eastAsia="黑体" w:cs="Times New Roman"/>
          <w:sz w:val="22"/>
          <w:szCs w:val="22"/>
        </w:rPr>
        <w:t>表1  相关参考标准</w:t>
      </w:r>
    </w:p>
    <w:tbl>
      <w:tblPr>
        <w:tblStyle w:val="14"/>
        <w:tblW w:w="5000" w:type="pct"/>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45"/>
        <w:gridCol w:w="2533"/>
        <w:gridCol w:w="5138"/>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496" w:type="pct"/>
            <w:tcBorders>
              <w:tl2br w:val="nil"/>
              <w:tr2bl w:val="nil"/>
            </w:tcBorders>
            <w:noWrap w:val="0"/>
            <w:vAlign w:val="bottom"/>
          </w:tcPr>
          <w:p>
            <w:pPr>
              <w:spacing w:after="240"/>
              <w:jc w:val="center"/>
              <w:rPr>
                <w:rFonts w:hint="default" w:ascii="Times New Roman" w:hAnsi="Times New Roman" w:eastAsia="仿宋" w:cs="Times New Roman"/>
                <w:b/>
                <w:kern w:val="0"/>
                <w:sz w:val="24"/>
              </w:rPr>
            </w:pPr>
            <w:r>
              <w:rPr>
                <w:rFonts w:hint="default" w:ascii="Times New Roman" w:hAnsi="Times New Roman" w:eastAsia="仿宋" w:cs="Times New Roman"/>
                <w:b/>
                <w:kern w:val="0"/>
                <w:sz w:val="24"/>
              </w:rPr>
              <w:t>编号</w:t>
            </w:r>
          </w:p>
        </w:tc>
        <w:tc>
          <w:tcPr>
            <w:tcW w:w="1487" w:type="pct"/>
            <w:tcBorders>
              <w:tl2br w:val="nil"/>
              <w:tr2bl w:val="nil"/>
            </w:tcBorders>
            <w:noWrap w:val="0"/>
            <w:vAlign w:val="center"/>
          </w:tcPr>
          <w:p>
            <w:pPr>
              <w:jc w:val="center"/>
              <w:rPr>
                <w:rFonts w:hint="default" w:ascii="Times New Roman" w:hAnsi="Times New Roman" w:eastAsia="仿宋" w:cs="Times New Roman"/>
                <w:b/>
                <w:kern w:val="0"/>
                <w:sz w:val="24"/>
              </w:rPr>
            </w:pPr>
            <w:r>
              <w:rPr>
                <w:rFonts w:hint="default" w:ascii="Times New Roman" w:hAnsi="Times New Roman" w:eastAsia="仿宋" w:cs="Times New Roman"/>
                <w:b/>
                <w:kern w:val="0"/>
                <w:sz w:val="24"/>
              </w:rPr>
              <w:t>标准号</w:t>
            </w:r>
          </w:p>
        </w:tc>
        <w:tc>
          <w:tcPr>
            <w:tcW w:w="3016" w:type="pct"/>
            <w:tcBorders>
              <w:tl2br w:val="nil"/>
              <w:tr2bl w:val="nil"/>
            </w:tcBorders>
            <w:noWrap w:val="0"/>
            <w:vAlign w:val="center"/>
          </w:tcPr>
          <w:p>
            <w:pPr>
              <w:jc w:val="center"/>
              <w:rPr>
                <w:rFonts w:hint="default" w:ascii="Times New Roman" w:hAnsi="Times New Roman" w:eastAsia="仿宋" w:cs="Times New Roman"/>
                <w:b/>
                <w:kern w:val="0"/>
                <w:sz w:val="24"/>
              </w:rPr>
            </w:pPr>
            <w:r>
              <w:rPr>
                <w:rFonts w:hint="default" w:ascii="Times New Roman" w:hAnsi="Times New Roman" w:eastAsia="仿宋" w:cs="Times New Roman"/>
                <w:b/>
                <w:kern w:val="0"/>
                <w:sz w:val="24"/>
              </w:rPr>
              <w:t>标准名称</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496" w:type="pct"/>
            <w:tcBorders>
              <w:tl2br w:val="nil"/>
              <w:tr2bl w:val="nil"/>
            </w:tcBorders>
            <w:noWrap w:val="0"/>
            <w:vAlign w:val="top"/>
          </w:tcPr>
          <w:p>
            <w:pPr>
              <w:widowControl/>
              <w:spacing w:line="400" w:lineRule="exact"/>
              <w:ind w:firstLine="210" w:firstLineChars="100"/>
              <w:jc w:val="left"/>
              <w:rPr>
                <w:rFonts w:hint="default" w:ascii="Times New Roman" w:hAnsi="Times New Roman" w:eastAsia="仿宋" w:cs="Times New Roman"/>
                <w:kern w:val="0"/>
              </w:rPr>
            </w:pPr>
            <w:r>
              <w:rPr>
                <w:rFonts w:hint="default" w:ascii="Times New Roman" w:hAnsi="Times New Roman" w:eastAsia="仿宋" w:cs="Times New Roman"/>
                <w:kern w:val="0"/>
              </w:rPr>
              <w:t>1</w:t>
            </w:r>
          </w:p>
        </w:tc>
        <w:tc>
          <w:tcPr>
            <w:tcW w:w="1487" w:type="pct"/>
            <w:tcBorders>
              <w:tl2br w:val="nil"/>
              <w:tr2bl w:val="nil"/>
            </w:tcBorders>
            <w:noWrap w:val="0"/>
            <w:vAlign w:val="top"/>
          </w:tcPr>
          <w:p>
            <w:pPr>
              <w:widowControl/>
              <w:spacing w:line="400" w:lineRule="exact"/>
              <w:jc w:val="left"/>
              <w:rPr>
                <w:rFonts w:hint="default" w:ascii="Times New Roman" w:hAnsi="Times New Roman" w:eastAsia="仿宋" w:cs="Times New Roman"/>
                <w:kern w:val="0"/>
              </w:rPr>
            </w:pPr>
            <w:r>
              <w:rPr>
                <w:rFonts w:hint="default" w:ascii="Times New Roman" w:hAnsi="Times New Roman" w:eastAsia="仿宋" w:cs="Times New Roman"/>
                <w:kern w:val="0"/>
              </w:rPr>
              <w:t>GB/T 23393-2009</w:t>
            </w:r>
          </w:p>
        </w:tc>
        <w:tc>
          <w:tcPr>
            <w:tcW w:w="3016" w:type="pct"/>
            <w:tcBorders>
              <w:tl2br w:val="nil"/>
              <w:tr2bl w:val="nil"/>
            </w:tcBorders>
            <w:noWrap w:val="0"/>
            <w:vAlign w:val="top"/>
          </w:tcPr>
          <w:p>
            <w:pPr>
              <w:widowControl/>
              <w:spacing w:line="400" w:lineRule="exact"/>
              <w:ind w:firstLine="630" w:firstLineChars="300"/>
              <w:jc w:val="left"/>
              <w:rPr>
                <w:rFonts w:hint="default" w:ascii="Times New Roman" w:hAnsi="Times New Roman" w:eastAsia="仿宋" w:cs="Times New Roman"/>
                <w:kern w:val="0"/>
              </w:rPr>
            </w:pPr>
            <w:r>
              <w:rPr>
                <w:rFonts w:hint="default" w:ascii="Times New Roman" w:hAnsi="Times New Roman" w:eastAsia="仿宋" w:cs="Times New Roman"/>
                <w:kern w:val="0"/>
              </w:rPr>
              <w:t>设施园艺工程术语</w:t>
            </w:r>
          </w:p>
          <w:p>
            <w:pPr>
              <w:widowControl/>
              <w:spacing w:line="400" w:lineRule="exact"/>
              <w:jc w:val="left"/>
              <w:rPr>
                <w:rFonts w:hint="default" w:ascii="Times New Roman" w:hAnsi="Times New Roman" w:eastAsia="仿宋" w:cs="Times New Roman"/>
                <w:kern w:val="0"/>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496" w:type="pct"/>
            <w:tcBorders>
              <w:tl2br w:val="nil"/>
              <w:tr2bl w:val="nil"/>
            </w:tcBorders>
            <w:noWrap w:val="0"/>
            <w:vAlign w:val="top"/>
          </w:tcPr>
          <w:p>
            <w:pPr>
              <w:widowControl/>
              <w:spacing w:line="400" w:lineRule="exact"/>
              <w:ind w:firstLine="210" w:firstLineChars="100"/>
              <w:jc w:val="left"/>
              <w:rPr>
                <w:rFonts w:hint="default" w:ascii="Times New Roman" w:hAnsi="Times New Roman" w:eastAsia="仿宋" w:cs="Times New Roman"/>
                <w:kern w:val="0"/>
              </w:rPr>
            </w:pPr>
            <w:r>
              <w:rPr>
                <w:rFonts w:hint="default" w:ascii="Times New Roman" w:hAnsi="Times New Roman" w:eastAsia="仿宋" w:cs="Times New Roman"/>
                <w:kern w:val="0"/>
              </w:rPr>
              <w:t xml:space="preserve">2          </w:t>
            </w:r>
          </w:p>
        </w:tc>
        <w:tc>
          <w:tcPr>
            <w:tcW w:w="1487" w:type="pct"/>
            <w:tcBorders>
              <w:tl2br w:val="nil"/>
              <w:tr2bl w:val="nil"/>
            </w:tcBorders>
            <w:noWrap w:val="0"/>
            <w:vAlign w:val="top"/>
          </w:tcPr>
          <w:p>
            <w:pPr>
              <w:widowControl/>
              <w:spacing w:line="400" w:lineRule="exact"/>
              <w:jc w:val="left"/>
              <w:rPr>
                <w:rFonts w:hint="default" w:ascii="Times New Roman" w:hAnsi="Times New Roman" w:eastAsia="仿宋" w:cs="Times New Roman"/>
                <w:kern w:val="0"/>
                <w:sz w:val="21"/>
                <w:szCs w:val="24"/>
                <w:lang w:val="en-US" w:eastAsia="zh-CN" w:bidi="ar-SA"/>
              </w:rPr>
            </w:pPr>
            <w:r>
              <w:rPr>
                <w:rFonts w:hint="default" w:ascii="Times New Roman" w:hAnsi="Times New Roman" w:eastAsia="仿宋" w:cs="Times New Roman"/>
                <w:kern w:val="0"/>
              </w:rPr>
              <w:t>GB/T 18621-2002</w:t>
            </w:r>
          </w:p>
        </w:tc>
        <w:tc>
          <w:tcPr>
            <w:tcW w:w="3016" w:type="pct"/>
            <w:tcBorders>
              <w:tl2br w:val="nil"/>
              <w:tr2bl w:val="nil"/>
            </w:tcBorders>
            <w:noWrap w:val="0"/>
            <w:vAlign w:val="top"/>
          </w:tcPr>
          <w:p>
            <w:pPr>
              <w:widowControl/>
              <w:spacing w:line="400" w:lineRule="exact"/>
              <w:ind w:firstLine="630" w:firstLineChars="300"/>
              <w:jc w:val="left"/>
              <w:rPr>
                <w:rFonts w:hint="default" w:ascii="Times New Roman" w:hAnsi="Times New Roman" w:eastAsia="仿宋" w:cs="Times New Roman"/>
                <w:kern w:val="0"/>
              </w:rPr>
            </w:pPr>
            <w:r>
              <w:rPr>
                <w:rFonts w:hint="default" w:ascii="Times New Roman" w:hAnsi="Times New Roman" w:eastAsia="仿宋" w:cs="Times New Roman"/>
                <w:kern w:val="0"/>
              </w:rPr>
              <w:t>温室通风降温设计规范</w:t>
            </w:r>
          </w:p>
          <w:p>
            <w:pPr>
              <w:widowControl/>
              <w:spacing w:line="400" w:lineRule="exact"/>
              <w:jc w:val="left"/>
              <w:rPr>
                <w:rFonts w:hint="default" w:ascii="Times New Roman" w:hAnsi="Times New Roman" w:eastAsia="仿宋" w:cs="Times New Roman"/>
                <w:kern w:val="0"/>
                <w:sz w:val="21"/>
                <w:szCs w:val="24"/>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496" w:type="pct"/>
            <w:tcBorders>
              <w:tl2br w:val="nil"/>
              <w:tr2bl w:val="nil"/>
            </w:tcBorders>
            <w:noWrap w:val="0"/>
            <w:vAlign w:val="top"/>
          </w:tcPr>
          <w:p>
            <w:pPr>
              <w:widowControl/>
              <w:spacing w:line="400" w:lineRule="exact"/>
              <w:ind w:firstLine="210" w:firstLineChars="100"/>
              <w:jc w:val="left"/>
              <w:rPr>
                <w:rFonts w:hint="default" w:ascii="Times New Roman" w:hAnsi="Times New Roman" w:eastAsia="仿宋" w:cs="Times New Roman"/>
                <w:kern w:val="0"/>
              </w:rPr>
            </w:pPr>
            <w:r>
              <w:rPr>
                <w:rFonts w:hint="default" w:ascii="Times New Roman" w:hAnsi="Times New Roman" w:eastAsia="仿宋" w:cs="Times New Roman"/>
                <w:kern w:val="0"/>
              </w:rPr>
              <w:t>3</w:t>
            </w:r>
          </w:p>
        </w:tc>
        <w:tc>
          <w:tcPr>
            <w:tcW w:w="1487" w:type="pct"/>
            <w:tcBorders>
              <w:tl2br w:val="nil"/>
              <w:tr2bl w:val="nil"/>
            </w:tcBorders>
            <w:noWrap w:val="0"/>
            <w:vAlign w:val="top"/>
          </w:tcPr>
          <w:p>
            <w:pPr>
              <w:widowControl/>
              <w:spacing w:line="400" w:lineRule="exact"/>
              <w:jc w:val="left"/>
              <w:rPr>
                <w:rFonts w:hint="default" w:ascii="Times New Roman" w:hAnsi="Times New Roman" w:eastAsia="仿宋" w:cs="Times New Roman"/>
                <w:kern w:val="0"/>
                <w:sz w:val="21"/>
                <w:szCs w:val="24"/>
                <w:lang w:val="en-US" w:eastAsia="zh-CN" w:bidi="ar-SA"/>
              </w:rPr>
            </w:pPr>
            <w:r>
              <w:rPr>
                <w:rFonts w:hint="default" w:ascii="Times New Roman" w:hAnsi="Times New Roman" w:eastAsia="仿宋" w:cs="Times New Roman"/>
                <w:kern w:val="0"/>
              </w:rPr>
              <w:t>NY/T 1553-2007</w:t>
            </w:r>
          </w:p>
        </w:tc>
        <w:tc>
          <w:tcPr>
            <w:tcW w:w="3016" w:type="pct"/>
            <w:tcBorders>
              <w:tl2br w:val="nil"/>
              <w:tr2bl w:val="nil"/>
            </w:tcBorders>
            <w:noWrap w:val="0"/>
            <w:vAlign w:val="top"/>
          </w:tcPr>
          <w:p>
            <w:pPr>
              <w:widowControl/>
              <w:spacing w:line="400" w:lineRule="exact"/>
              <w:ind w:firstLine="420" w:firstLineChars="200"/>
              <w:jc w:val="left"/>
              <w:rPr>
                <w:rFonts w:hint="default" w:ascii="Times New Roman" w:hAnsi="Times New Roman" w:eastAsia="仿宋" w:cs="Times New Roman"/>
                <w:kern w:val="0"/>
              </w:rPr>
            </w:pPr>
            <w:r>
              <w:rPr>
                <w:rFonts w:hint="default" w:ascii="Times New Roman" w:hAnsi="Times New Roman" w:eastAsia="仿宋" w:cs="Times New Roman"/>
                <w:kern w:val="0"/>
              </w:rPr>
              <w:t xml:space="preserve">  日光温室效能评价规范</w:t>
            </w:r>
          </w:p>
          <w:p>
            <w:pPr>
              <w:widowControl/>
              <w:spacing w:line="400" w:lineRule="exact"/>
              <w:ind w:firstLine="420" w:firstLineChars="200"/>
              <w:jc w:val="left"/>
              <w:rPr>
                <w:rFonts w:hint="default" w:ascii="Times New Roman" w:hAnsi="Times New Roman" w:eastAsia="仿宋" w:cs="Times New Roman"/>
                <w:kern w:val="0"/>
                <w:sz w:val="21"/>
                <w:szCs w:val="24"/>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496" w:type="pct"/>
            <w:tcBorders>
              <w:tl2br w:val="nil"/>
              <w:tr2bl w:val="nil"/>
            </w:tcBorders>
            <w:noWrap w:val="0"/>
            <w:vAlign w:val="top"/>
          </w:tcPr>
          <w:p>
            <w:pPr>
              <w:widowControl/>
              <w:spacing w:line="400" w:lineRule="exact"/>
              <w:ind w:firstLine="210" w:firstLineChars="100"/>
              <w:jc w:val="left"/>
              <w:rPr>
                <w:rFonts w:hint="default" w:ascii="Times New Roman" w:hAnsi="Times New Roman" w:eastAsia="仿宋" w:cs="Times New Roman"/>
                <w:kern w:val="0"/>
              </w:rPr>
            </w:pPr>
            <w:r>
              <w:rPr>
                <w:rFonts w:hint="default" w:ascii="Times New Roman" w:hAnsi="Times New Roman" w:eastAsia="仿宋" w:cs="Times New Roman"/>
                <w:kern w:val="0"/>
              </w:rPr>
              <w:t>4</w:t>
            </w:r>
          </w:p>
        </w:tc>
        <w:tc>
          <w:tcPr>
            <w:tcW w:w="1487" w:type="pct"/>
            <w:tcBorders>
              <w:tl2br w:val="nil"/>
              <w:tr2bl w:val="nil"/>
            </w:tcBorders>
            <w:noWrap w:val="0"/>
            <w:vAlign w:val="top"/>
          </w:tcPr>
          <w:p>
            <w:pPr>
              <w:widowControl/>
              <w:spacing w:line="400" w:lineRule="exact"/>
              <w:jc w:val="left"/>
              <w:rPr>
                <w:rFonts w:hint="default" w:ascii="Times New Roman" w:hAnsi="Times New Roman" w:eastAsia="仿宋" w:cs="Times New Roman"/>
                <w:kern w:val="0"/>
                <w:sz w:val="21"/>
                <w:szCs w:val="24"/>
                <w:lang w:val="en-US" w:eastAsia="zh-CN" w:bidi="ar-SA"/>
              </w:rPr>
            </w:pPr>
            <w:r>
              <w:rPr>
                <w:rFonts w:hint="eastAsia" w:ascii="Times New Roman" w:hAnsi="Times New Roman" w:eastAsia="仿宋" w:cs="Times New Roman"/>
                <w:kern w:val="0"/>
                <w:lang w:val="en-US" w:eastAsia="zh-CN"/>
              </w:rPr>
              <w:t>J</w:t>
            </w:r>
            <w:r>
              <w:rPr>
                <w:rFonts w:hint="default" w:ascii="Times New Roman" w:hAnsi="Times New Roman" w:eastAsia="仿宋" w:cs="Times New Roman"/>
                <w:kern w:val="0"/>
              </w:rPr>
              <w:t>B/T 1</w:t>
            </w:r>
            <w:r>
              <w:rPr>
                <w:rFonts w:hint="eastAsia" w:ascii="Times New Roman" w:hAnsi="Times New Roman" w:eastAsia="仿宋" w:cs="Times New Roman"/>
                <w:kern w:val="0"/>
                <w:lang w:val="en-US" w:eastAsia="zh-CN"/>
              </w:rPr>
              <w:t>0594</w:t>
            </w:r>
          </w:p>
        </w:tc>
        <w:tc>
          <w:tcPr>
            <w:tcW w:w="3016" w:type="pct"/>
            <w:tcBorders>
              <w:tl2br w:val="nil"/>
              <w:tr2bl w:val="nil"/>
            </w:tcBorders>
            <w:noWrap w:val="0"/>
            <w:vAlign w:val="top"/>
          </w:tcPr>
          <w:p>
            <w:pPr>
              <w:widowControl/>
              <w:spacing w:line="400" w:lineRule="exact"/>
              <w:ind w:firstLine="420" w:firstLineChars="200"/>
              <w:jc w:val="left"/>
              <w:rPr>
                <w:rFonts w:hint="default" w:ascii="Times New Roman" w:hAnsi="Times New Roman" w:eastAsia="仿宋" w:cs="Times New Roman"/>
                <w:kern w:val="0"/>
              </w:rPr>
            </w:pPr>
            <w:r>
              <w:rPr>
                <w:rFonts w:hint="default" w:ascii="Times New Roman" w:hAnsi="Times New Roman" w:eastAsia="仿宋" w:cs="Times New Roman"/>
                <w:kern w:val="0"/>
              </w:rPr>
              <w:t xml:space="preserve">  日光温室和塑料大棚结构与性能要求</w:t>
            </w:r>
          </w:p>
          <w:p>
            <w:pPr>
              <w:widowControl/>
              <w:spacing w:line="400" w:lineRule="exact"/>
              <w:jc w:val="left"/>
              <w:rPr>
                <w:rFonts w:hint="default" w:ascii="Times New Roman" w:hAnsi="Times New Roman" w:eastAsia="仿宋" w:cs="Times New Roman"/>
                <w:kern w:val="0"/>
                <w:sz w:val="21"/>
                <w:szCs w:val="24"/>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496" w:type="pct"/>
            <w:tcBorders>
              <w:tl2br w:val="nil"/>
              <w:tr2bl w:val="nil"/>
            </w:tcBorders>
            <w:noWrap w:val="0"/>
            <w:vAlign w:val="top"/>
          </w:tcPr>
          <w:p>
            <w:pPr>
              <w:widowControl/>
              <w:spacing w:line="400" w:lineRule="exact"/>
              <w:ind w:firstLine="210" w:firstLineChars="100"/>
              <w:jc w:val="left"/>
              <w:rPr>
                <w:rFonts w:hint="default" w:ascii="Times New Roman" w:hAnsi="Times New Roman" w:eastAsia="仿宋" w:cs="Times New Roman"/>
                <w:kern w:val="0"/>
              </w:rPr>
            </w:pPr>
            <w:r>
              <w:rPr>
                <w:rFonts w:hint="default" w:ascii="Times New Roman" w:hAnsi="Times New Roman" w:eastAsia="仿宋" w:cs="Times New Roman"/>
                <w:kern w:val="0"/>
              </w:rPr>
              <w:t>5</w:t>
            </w:r>
          </w:p>
        </w:tc>
        <w:tc>
          <w:tcPr>
            <w:tcW w:w="1487" w:type="pct"/>
            <w:tcBorders>
              <w:tl2br w:val="nil"/>
              <w:tr2bl w:val="nil"/>
            </w:tcBorders>
            <w:noWrap w:val="0"/>
            <w:vAlign w:val="top"/>
          </w:tcPr>
          <w:p>
            <w:pPr>
              <w:widowControl/>
              <w:spacing w:line="400" w:lineRule="exact"/>
              <w:jc w:val="left"/>
              <w:rPr>
                <w:rFonts w:hint="default" w:ascii="Times New Roman" w:hAnsi="Times New Roman" w:eastAsia="仿宋" w:cs="Times New Roman"/>
                <w:kern w:val="0"/>
              </w:rPr>
            </w:pPr>
            <w:r>
              <w:rPr>
                <w:rFonts w:hint="default" w:ascii="Times New Roman" w:hAnsi="Times New Roman" w:eastAsia="仿宋" w:cs="Times New Roman"/>
                <w:kern w:val="0"/>
              </w:rPr>
              <w:t>DB/T 1190-2016</w:t>
            </w:r>
          </w:p>
        </w:tc>
        <w:tc>
          <w:tcPr>
            <w:tcW w:w="3016" w:type="pct"/>
            <w:tcBorders>
              <w:tl2br w:val="nil"/>
              <w:tr2bl w:val="nil"/>
            </w:tcBorders>
            <w:noWrap w:val="0"/>
            <w:vAlign w:val="top"/>
          </w:tcPr>
          <w:p>
            <w:pPr>
              <w:widowControl/>
              <w:spacing w:line="400" w:lineRule="exact"/>
              <w:ind w:firstLine="630" w:firstLineChars="300"/>
              <w:jc w:val="left"/>
              <w:rPr>
                <w:rFonts w:hint="default" w:ascii="Times New Roman" w:hAnsi="Times New Roman" w:eastAsia="仿宋" w:cs="Times New Roman"/>
                <w:kern w:val="0"/>
              </w:rPr>
            </w:pPr>
            <w:r>
              <w:rPr>
                <w:rFonts w:hint="default" w:ascii="Times New Roman" w:hAnsi="Times New Roman" w:eastAsia="仿宋" w:cs="Times New Roman"/>
                <w:kern w:val="0"/>
              </w:rPr>
              <w:t>日光温室蔬菜栽培环境调控技术规范</w:t>
            </w:r>
          </w:p>
        </w:tc>
      </w:tr>
    </w:tbl>
    <w:p>
      <w:pPr>
        <w:pStyle w:val="2"/>
        <w:rPr>
          <w:rFonts w:hint="eastAsia" w:eastAsia="仿宋_GB2312"/>
          <w:sz w:val="24"/>
        </w:rPr>
      </w:pPr>
    </w:p>
    <w:p>
      <w:pPr>
        <w:spacing w:line="360" w:lineRule="auto"/>
        <w:ind w:firstLine="480" w:firstLineChars="200"/>
        <w:outlineLvl w:val="0"/>
        <w:rPr>
          <w:rFonts w:ascii="黑体" w:eastAsia="黑体"/>
          <w:sz w:val="24"/>
        </w:rPr>
      </w:pPr>
      <w:r>
        <w:rPr>
          <w:rFonts w:hint="eastAsia" w:ascii="黑体" w:eastAsia="黑体"/>
          <w:sz w:val="24"/>
        </w:rPr>
        <w:t>五</w:t>
      </w:r>
      <w:r>
        <w:rPr>
          <w:rFonts w:ascii="黑体" w:eastAsia="黑体"/>
          <w:sz w:val="24"/>
        </w:rPr>
        <w:t>、主要条款的说明，主要技术指标、参数、试验验证的分析、综合论述</w:t>
      </w:r>
    </w:p>
    <w:p>
      <w:pPr>
        <w:spacing w:line="400" w:lineRule="exact"/>
        <w:ind w:firstLine="480" w:firstLineChars="200"/>
        <w:rPr>
          <w:rFonts w:hint="eastAsia" w:eastAsia="仿宋_GB2312"/>
          <w:bCs/>
          <w:sz w:val="24"/>
          <w:lang w:eastAsia="zh-CN"/>
        </w:rPr>
      </w:pPr>
      <w:r>
        <w:rPr>
          <w:rFonts w:hint="eastAsia" w:eastAsia="仿宋_GB2312"/>
          <w:bCs/>
          <w:sz w:val="24"/>
          <w:lang w:eastAsia="zh-CN"/>
        </w:rPr>
        <w:t>标准起草组以“合法性、安全性、适应性、协调性和先进性”为修订原则，以文本结构更加合理、表述更加准确、技术指标更加科学为修订目标，从</w:t>
      </w:r>
      <w:r>
        <w:rPr>
          <w:rFonts w:hint="eastAsia" w:eastAsia="仿宋_GB2312"/>
          <w:bCs/>
          <w:sz w:val="24"/>
          <w:lang w:val="en-US" w:eastAsia="zh-CN"/>
        </w:rPr>
        <w:t>8</w:t>
      </w:r>
      <w:r>
        <w:rPr>
          <w:rFonts w:hint="eastAsia" w:eastAsia="仿宋_GB2312"/>
          <w:bCs/>
          <w:sz w:val="24"/>
          <w:lang w:eastAsia="zh-CN"/>
        </w:rPr>
        <w:t>个方面对文本进行了修订，其中：</w:t>
      </w:r>
    </w:p>
    <w:p>
      <w:pPr>
        <w:numPr>
          <w:ilvl w:val="0"/>
          <w:numId w:val="0"/>
        </w:num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1、</w:t>
      </w:r>
      <w:r>
        <w:rPr>
          <w:rFonts w:hint="eastAsia" w:eastAsia="仿宋_GB2312"/>
          <w:bCs/>
          <w:sz w:val="24"/>
        </w:rPr>
        <w:t>涉及</w:t>
      </w:r>
      <w:r>
        <w:rPr>
          <w:rFonts w:hint="eastAsia" w:eastAsia="仿宋_GB2312"/>
          <w:bCs/>
          <w:sz w:val="24"/>
          <w:lang w:eastAsia="zh-CN"/>
        </w:rPr>
        <w:t>结构性调整的主要有</w:t>
      </w:r>
      <w:r>
        <w:rPr>
          <w:rFonts w:hint="eastAsia" w:eastAsia="仿宋_GB2312"/>
          <w:bCs/>
          <w:sz w:val="24"/>
          <w:lang w:val="en-US" w:eastAsia="zh-CN"/>
        </w:rPr>
        <w:t>2项：</w:t>
      </w:r>
    </w:p>
    <w:p>
      <w:pPr>
        <w:numPr>
          <w:ilvl w:val="0"/>
          <w:numId w:val="0"/>
        </w:num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（1）更改了范围。修订原因：因将温室和大棚整合为设施，修订后的标准适用面更广，范围有变动。</w:t>
      </w:r>
    </w:p>
    <w:p>
      <w:pPr>
        <w:numPr>
          <w:ilvl w:val="0"/>
          <w:numId w:val="0"/>
        </w:num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（2）删除了原术语和定义内容“化学反应二氧化碳施肥器”和“燃烧式二氧化碳发生器”。修订原因：这两个设备属于生产中常见的设备，不建议再定义。</w:t>
      </w:r>
    </w:p>
    <w:p>
      <w:pPr>
        <w:numPr>
          <w:ilvl w:val="0"/>
          <w:numId w:val="0"/>
        </w:num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2、涉及表述与编辑性修改的主要有6项：</w:t>
      </w:r>
    </w:p>
    <w:p>
      <w:pPr>
        <w:numPr>
          <w:ilvl w:val="0"/>
          <w:numId w:val="0"/>
        </w:numPr>
        <w:spacing w:line="400" w:lineRule="exact"/>
        <w:ind w:firstLine="480" w:firstLineChars="200"/>
        <w:rPr>
          <w:rFonts w:hint="eastAsia" w:eastAsia="仿宋_GB2312"/>
          <w:bCs/>
          <w:sz w:val="24"/>
          <w:lang w:eastAsia="zh-CN"/>
        </w:rPr>
      </w:pPr>
      <w:r>
        <w:rPr>
          <w:rFonts w:hint="eastAsia" w:eastAsia="仿宋_GB2312"/>
          <w:bCs/>
          <w:sz w:val="24"/>
          <w:lang w:eastAsia="zh-CN"/>
        </w:rPr>
        <w:t>（</w:t>
      </w:r>
      <w:r>
        <w:rPr>
          <w:rFonts w:hint="eastAsia" w:eastAsia="仿宋_GB2312"/>
          <w:bCs/>
          <w:sz w:val="24"/>
          <w:lang w:val="en-US" w:eastAsia="zh-CN"/>
        </w:rPr>
        <w:t>1</w:t>
      </w:r>
      <w:r>
        <w:rPr>
          <w:rFonts w:hint="eastAsia" w:eastAsia="仿宋_GB2312"/>
          <w:bCs/>
          <w:sz w:val="24"/>
          <w:lang w:eastAsia="zh-CN"/>
        </w:rPr>
        <w:t>）更改了</w:t>
      </w:r>
      <w:r>
        <w:rPr>
          <w:rFonts w:hint="eastAsia" w:eastAsia="仿宋_GB2312"/>
          <w:bCs/>
          <w:sz w:val="24"/>
          <w:lang w:val="en-US" w:eastAsia="zh-CN"/>
        </w:rPr>
        <w:t>“日光温室”为“设施结构与环境”</w:t>
      </w:r>
      <w:r>
        <w:rPr>
          <w:rFonts w:hint="eastAsia" w:ascii="Times New Roman" w:hAnsi="Times New Roman" w:eastAsia="仿宋_GB2312" w:cs="Times New Roman"/>
          <w:bCs/>
          <w:sz w:val="24"/>
          <w:lang w:val="en-US" w:eastAsia="zh-CN"/>
        </w:rPr>
        <w:t>（见第 4 章，1295-2016 年版的第 4 章）。</w:t>
      </w:r>
      <w:r>
        <w:rPr>
          <w:rFonts w:hint="eastAsia" w:eastAsia="仿宋_GB2312"/>
          <w:bCs/>
          <w:sz w:val="24"/>
          <w:lang w:eastAsia="zh-CN"/>
        </w:rPr>
        <w:t>修订原因：</w:t>
      </w:r>
      <w:r>
        <w:rPr>
          <w:rFonts w:hint="eastAsia" w:eastAsia="仿宋_GB2312"/>
          <w:bCs/>
          <w:sz w:val="24"/>
          <w:lang w:val="en-US" w:eastAsia="zh-CN"/>
        </w:rPr>
        <w:t>因将2个标准进行整合，“设施”包含了日光温室和塑料大棚，具有代表性</w:t>
      </w:r>
      <w:r>
        <w:rPr>
          <w:rFonts w:hint="eastAsia" w:eastAsia="仿宋_GB2312"/>
          <w:bCs/>
          <w:sz w:val="24"/>
          <w:lang w:eastAsia="zh-CN"/>
        </w:rPr>
        <w:t>。</w:t>
      </w:r>
    </w:p>
    <w:p>
      <w:pPr>
        <w:numPr>
          <w:ilvl w:val="0"/>
          <w:numId w:val="0"/>
        </w:numPr>
        <w:spacing w:line="400" w:lineRule="exact"/>
        <w:ind w:firstLine="480" w:firstLineChars="200"/>
        <w:rPr>
          <w:rFonts w:hint="eastAsia" w:eastAsia="仿宋_GB2312"/>
          <w:bCs/>
          <w:sz w:val="24"/>
          <w:lang w:eastAsia="zh-CN"/>
        </w:rPr>
      </w:pPr>
      <w:r>
        <w:rPr>
          <w:rFonts w:hint="eastAsia" w:eastAsia="仿宋_GB2312"/>
          <w:bCs/>
          <w:sz w:val="24"/>
          <w:lang w:eastAsia="zh-CN"/>
        </w:rPr>
        <w:t>（</w:t>
      </w:r>
      <w:r>
        <w:rPr>
          <w:rFonts w:hint="eastAsia" w:eastAsia="仿宋_GB2312"/>
          <w:bCs/>
          <w:sz w:val="24"/>
          <w:lang w:val="en-US" w:eastAsia="zh-CN"/>
        </w:rPr>
        <w:t>2</w:t>
      </w:r>
      <w:r>
        <w:rPr>
          <w:rFonts w:hint="eastAsia" w:eastAsia="仿宋_GB2312"/>
          <w:bCs/>
          <w:sz w:val="24"/>
          <w:lang w:eastAsia="zh-CN"/>
        </w:rPr>
        <w:t>）将“施肥浓度”进行整合（见第 5 章，1295-2016 年版的第 5 章和 1288-2016 年版的第 4 章）。</w:t>
      </w:r>
    </w:p>
    <w:p>
      <w:pPr>
        <w:numPr>
          <w:ilvl w:val="0"/>
          <w:numId w:val="0"/>
        </w:numPr>
        <w:spacing w:line="400" w:lineRule="exact"/>
        <w:ind w:firstLine="480" w:firstLineChars="200"/>
        <w:rPr>
          <w:rFonts w:hint="eastAsia" w:eastAsia="仿宋_GB2312"/>
          <w:bCs/>
          <w:sz w:val="24"/>
          <w:lang w:eastAsia="zh-CN"/>
        </w:rPr>
      </w:pPr>
      <w:r>
        <w:rPr>
          <w:rFonts w:hint="eastAsia" w:eastAsia="仿宋_GB2312"/>
          <w:bCs/>
          <w:sz w:val="24"/>
          <w:lang w:eastAsia="zh-CN"/>
        </w:rPr>
        <w:t>（</w:t>
      </w:r>
      <w:r>
        <w:rPr>
          <w:rFonts w:hint="eastAsia" w:eastAsia="仿宋_GB2312"/>
          <w:bCs/>
          <w:sz w:val="24"/>
          <w:lang w:val="en-US" w:eastAsia="zh-CN"/>
        </w:rPr>
        <w:t>3</w:t>
      </w:r>
      <w:r>
        <w:rPr>
          <w:rFonts w:hint="eastAsia" w:eastAsia="仿宋_GB2312"/>
          <w:bCs/>
          <w:sz w:val="24"/>
          <w:lang w:eastAsia="zh-CN"/>
        </w:rPr>
        <w:t>）将“施肥时间”进行整合（见第 6 章，1295-2016 年版的第 6 章和 1288-2016 年版的第 5 章）。</w:t>
      </w:r>
    </w:p>
    <w:p>
      <w:pPr>
        <w:numPr>
          <w:ilvl w:val="0"/>
          <w:numId w:val="0"/>
        </w:numPr>
        <w:spacing w:line="400" w:lineRule="exact"/>
        <w:ind w:firstLine="480" w:firstLineChars="200"/>
        <w:rPr>
          <w:rFonts w:hint="eastAsia" w:eastAsia="仿宋_GB2312"/>
          <w:bCs/>
          <w:sz w:val="24"/>
          <w:lang w:eastAsia="zh-CN"/>
        </w:rPr>
      </w:pPr>
      <w:r>
        <w:rPr>
          <w:rFonts w:hint="eastAsia" w:eastAsia="仿宋_GB2312"/>
          <w:bCs/>
          <w:sz w:val="24"/>
          <w:lang w:eastAsia="zh-CN"/>
        </w:rPr>
        <w:t>（</w:t>
      </w:r>
      <w:r>
        <w:rPr>
          <w:rFonts w:hint="eastAsia" w:eastAsia="仿宋_GB2312"/>
          <w:bCs/>
          <w:sz w:val="24"/>
          <w:lang w:val="en-US" w:eastAsia="zh-CN"/>
        </w:rPr>
        <w:t>4</w:t>
      </w:r>
      <w:r>
        <w:rPr>
          <w:rFonts w:hint="eastAsia" w:eastAsia="仿宋_GB2312"/>
          <w:bCs/>
          <w:sz w:val="24"/>
          <w:lang w:eastAsia="zh-CN"/>
        </w:rPr>
        <w:t>）将“施肥方法”进行整合（见第 7 章，1295-2016 年版的第 7 章和 1288-2016 年版的第 6 章）。</w:t>
      </w:r>
    </w:p>
    <w:p>
      <w:pPr>
        <w:numPr>
          <w:ilvl w:val="0"/>
          <w:numId w:val="0"/>
        </w:numPr>
        <w:spacing w:line="400" w:lineRule="exact"/>
        <w:ind w:firstLine="480" w:firstLineChars="200"/>
        <w:rPr>
          <w:rFonts w:hint="eastAsia" w:eastAsia="仿宋_GB2312"/>
          <w:bCs/>
          <w:sz w:val="24"/>
          <w:lang w:eastAsia="zh-CN"/>
        </w:rPr>
      </w:pPr>
      <w:r>
        <w:rPr>
          <w:rFonts w:hint="eastAsia" w:eastAsia="仿宋_GB2312"/>
          <w:bCs/>
          <w:sz w:val="24"/>
          <w:lang w:eastAsia="zh-CN"/>
        </w:rPr>
        <w:t>（</w:t>
      </w:r>
      <w:r>
        <w:rPr>
          <w:rFonts w:hint="eastAsia" w:eastAsia="仿宋_GB2312"/>
          <w:bCs/>
          <w:sz w:val="24"/>
          <w:lang w:val="en-US" w:eastAsia="zh-CN"/>
        </w:rPr>
        <w:t>5</w:t>
      </w:r>
      <w:r>
        <w:rPr>
          <w:rFonts w:hint="eastAsia" w:eastAsia="仿宋_GB2312"/>
          <w:bCs/>
          <w:sz w:val="24"/>
          <w:lang w:eastAsia="zh-CN"/>
        </w:rPr>
        <w:t>）将“配套管理”进行整合（见第 8 章，1295-2016 年版的第 8 章和 1288-2016 年版的第 7 章）。</w:t>
      </w:r>
    </w:p>
    <w:p>
      <w:pPr>
        <w:numPr>
          <w:ilvl w:val="0"/>
          <w:numId w:val="0"/>
        </w:numPr>
        <w:spacing w:line="400" w:lineRule="exact"/>
        <w:ind w:firstLine="480" w:firstLineChars="200"/>
        <w:rPr>
          <w:rFonts w:hint="eastAsia" w:eastAsia="仿宋_GB2312"/>
          <w:bCs/>
          <w:sz w:val="24"/>
          <w:lang w:eastAsia="zh-CN"/>
        </w:rPr>
      </w:pPr>
      <w:r>
        <w:rPr>
          <w:rFonts w:hint="eastAsia" w:eastAsia="仿宋_GB2312"/>
          <w:bCs/>
          <w:sz w:val="24"/>
          <w:lang w:eastAsia="zh-CN"/>
        </w:rPr>
        <w:t>（</w:t>
      </w:r>
      <w:r>
        <w:rPr>
          <w:rFonts w:hint="eastAsia" w:eastAsia="仿宋_GB2312"/>
          <w:bCs/>
          <w:sz w:val="24"/>
          <w:lang w:val="en-US" w:eastAsia="zh-CN"/>
        </w:rPr>
        <w:t>6</w:t>
      </w:r>
      <w:r>
        <w:rPr>
          <w:rFonts w:hint="eastAsia" w:eastAsia="仿宋_GB2312"/>
          <w:bCs/>
          <w:sz w:val="24"/>
          <w:lang w:eastAsia="zh-CN"/>
        </w:rPr>
        <w:t>）将“注意事项”进行整合（见第 9 章，1295-2016 年版的第 9 章和 1288-2016 年版的第 8 章）。</w:t>
      </w:r>
    </w:p>
    <w:p>
      <w:pPr>
        <w:spacing w:line="360" w:lineRule="auto"/>
        <w:ind w:firstLine="480" w:firstLineChars="200"/>
        <w:outlineLvl w:val="0"/>
        <w:rPr>
          <w:rFonts w:ascii="黑体" w:eastAsia="黑体"/>
          <w:sz w:val="24"/>
        </w:rPr>
      </w:pPr>
      <w:r>
        <w:rPr>
          <w:rFonts w:hint="eastAsia" w:ascii="黑体" w:eastAsia="黑体"/>
          <w:sz w:val="24"/>
        </w:rPr>
        <w:t>六</w:t>
      </w:r>
      <w:r>
        <w:rPr>
          <w:rFonts w:ascii="黑体" w:eastAsia="黑体"/>
          <w:sz w:val="24"/>
        </w:rPr>
        <w:t>、</w:t>
      </w:r>
      <w:r>
        <w:rPr>
          <w:rFonts w:hint="eastAsia" w:ascii="黑体" w:eastAsia="黑体"/>
          <w:sz w:val="24"/>
        </w:rPr>
        <w:t>重大</w:t>
      </w:r>
      <w:r>
        <w:rPr>
          <w:rFonts w:ascii="黑体" w:eastAsia="黑体"/>
          <w:sz w:val="24"/>
        </w:rPr>
        <w:t>意见分歧的处理依据和结果</w:t>
      </w:r>
    </w:p>
    <w:p>
      <w:pPr>
        <w:pStyle w:val="8"/>
        <w:spacing w:after="0" w:line="360" w:lineRule="auto"/>
        <w:ind w:firstLine="480" w:firstLineChars="200"/>
        <w:rPr>
          <w:rFonts w:hint="eastAsia" w:ascii="仿宋_GB2312" w:hAnsi="宋体" w:eastAsia="仿宋_GB2312"/>
          <w:sz w:val="24"/>
          <w:lang w:eastAsia="zh-CN"/>
        </w:rPr>
      </w:pPr>
      <w:r>
        <w:rPr>
          <w:rFonts w:hint="eastAsia" w:ascii="仿宋_GB2312" w:hAnsi="宋体" w:eastAsia="仿宋_GB2312"/>
          <w:sz w:val="24"/>
        </w:rPr>
        <w:t>本标准在制定过程中征求了</w:t>
      </w:r>
      <w:r>
        <w:rPr>
          <w:rFonts w:ascii="仿宋_GB2312" w:hAnsi="宋体" w:eastAsia="仿宋_GB2312"/>
          <w:sz w:val="24"/>
        </w:rPr>
        <w:t>山西省</w:t>
      </w:r>
      <w:r>
        <w:rPr>
          <w:rFonts w:hint="eastAsia" w:ascii="仿宋_GB2312" w:hAnsi="宋体" w:eastAsia="仿宋_GB2312"/>
          <w:sz w:val="24"/>
        </w:rPr>
        <w:t>园艺产业中心</w:t>
      </w:r>
      <w:r>
        <w:rPr>
          <w:rFonts w:ascii="仿宋_GB2312" w:hAnsi="宋体" w:eastAsia="仿宋_GB2312"/>
          <w:sz w:val="24"/>
        </w:rPr>
        <w:t>、</w:t>
      </w:r>
      <w:r>
        <w:rPr>
          <w:rFonts w:hint="eastAsia" w:ascii="仿宋_GB2312" w:hAnsi="宋体" w:eastAsia="仿宋_GB2312"/>
          <w:sz w:val="24"/>
        </w:rPr>
        <w:t>山西省蔬菜产业技术体系</w:t>
      </w:r>
      <w:r>
        <w:rPr>
          <w:rFonts w:ascii="仿宋_GB2312" w:hAnsi="宋体" w:eastAsia="仿宋_GB2312"/>
          <w:sz w:val="24"/>
        </w:rPr>
        <w:t>、</w:t>
      </w:r>
      <w:r>
        <w:rPr>
          <w:rFonts w:hint="eastAsia" w:ascii="仿宋_GB2312" w:hAnsi="宋体" w:eastAsia="仿宋_GB2312"/>
          <w:sz w:val="24"/>
        </w:rPr>
        <w:t>泽州县蔬菜事业中心</w:t>
      </w:r>
      <w:r>
        <w:rPr>
          <w:rFonts w:ascii="仿宋_GB2312" w:hAnsi="宋体" w:eastAsia="仿宋_GB2312"/>
          <w:sz w:val="24"/>
        </w:rPr>
        <w:t>、</w:t>
      </w:r>
      <w:r>
        <w:rPr>
          <w:rFonts w:hint="eastAsia" w:ascii="仿宋_GB2312" w:hAnsi="宋体" w:eastAsia="仿宋_GB2312"/>
          <w:sz w:val="24"/>
          <w:lang w:val="en-US" w:eastAsia="zh-CN"/>
        </w:rPr>
        <w:t>曲沃县智慧菜谷发展服务中心、</w:t>
      </w:r>
      <w:r>
        <w:rPr>
          <w:rFonts w:hint="eastAsia" w:ascii="仿宋_GB2312" w:hAnsi="宋体" w:eastAsia="仿宋_GB2312"/>
          <w:sz w:val="24"/>
        </w:rPr>
        <w:t>兴沃智慧农业有限公司等多家</w:t>
      </w:r>
      <w:r>
        <w:rPr>
          <w:rFonts w:ascii="仿宋_GB2312" w:hAnsi="宋体" w:eastAsia="仿宋_GB2312"/>
          <w:sz w:val="24"/>
        </w:rPr>
        <w:t>相关专家和技术人员的意见与建议，</w:t>
      </w:r>
      <w:r>
        <w:rPr>
          <w:rFonts w:hint="eastAsia" w:ascii="仿宋_GB2312" w:hAnsi="宋体" w:eastAsia="仿宋_GB2312"/>
          <w:sz w:val="24"/>
        </w:rPr>
        <w:t>专家主要在文本结构、术语应用和文字描述方面提出</w:t>
      </w:r>
      <w:r>
        <w:rPr>
          <w:rFonts w:hint="eastAsia" w:ascii="仿宋_GB2312" w:hAnsi="宋体" w:eastAsia="仿宋_GB2312"/>
          <w:sz w:val="24"/>
          <w:lang w:val="en-US" w:eastAsia="zh-CN"/>
        </w:rPr>
        <w:t>4</w:t>
      </w:r>
      <w:r>
        <w:rPr>
          <w:rFonts w:hint="eastAsia" w:ascii="仿宋_GB2312" w:hAnsi="宋体" w:eastAsia="仿宋_GB2312"/>
          <w:sz w:val="24"/>
        </w:rPr>
        <w:t>条意见，采纳</w:t>
      </w:r>
      <w:r>
        <w:rPr>
          <w:rFonts w:hint="eastAsia" w:ascii="仿宋_GB2312" w:hAnsi="宋体" w:eastAsia="仿宋_GB2312"/>
          <w:sz w:val="24"/>
          <w:lang w:val="en-US" w:eastAsia="zh-CN"/>
        </w:rPr>
        <w:t>4</w:t>
      </w:r>
      <w:r>
        <w:rPr>
          <w:rFonts w:hint="eastAsia" w:ascii="仿宋_GB2312" w:hAnsi="宋体" w:eastAsia="仿宋_GB2312"/>
          <w:sz w:val="24"/>
        </w:rPr>
        <w:t>条。具体意见汇总处理表。</w:t>
      </w:r>
    </w:p>
    <w:p>
      <w:pPr>
        <w:spacing w:line="360" w:lineRule="auto"/>
        <w:ind w:firstLine="480" w:firstLineChars="200"/>
        <w:outlineLvl w:val="0"/>
        <w:rPr>
          <w:rFonts w:ascii="黑体" w:eastAsia="黑体"/>
          <w:sz w:val="24"/>
        </w:rPr>
      </w:pPr>
      <w:r>
        <w:rPr>
          <w:rFonts w:hint="eastAsia" w:ascii="黑体" w:eastAsia="黑体"/>
          <w:sz w:val="24"/>
        </w:rPr>
        <w:t>七</w:t>
      </w:r>
      <w:r>
        <w:rPr>
          <w:rFonts w:ascii="黑体" w:eastAsia="黑体"/>
          <w:sz w:val="24"/>
        </w:rPr>
        <w:t>、</w:t>
      </w:r>
      <w:r>
        <w:rPr>
          <w:rFonts w:hint="eastAsia" w:ascii="黑体" w:eastAsia="黑体"/>
          <w:sz w:val="24"/>
        </w:rPr>
        <w:t>采标</w:t>
      </w:r>
      <w:r>
        <w:rPr>
          <w:rFonts w:ascii="黑体" w:eastAsia="黑体"/>
          <w:sz w:val="24"/>
        </w:rPr>
        <w:t>情况，是否合规引用或采用国际标准和国外先进标准，以及与国内外同类标准水平的对比情况</w:t>
      </w:r>
    </w:p>
    <w:p>
      <w:pPr>
        <w:pStyle w:val="8"/>
        <w:spacing w:after="0" w:line="360" w:lineRule="auto"/>
        <w:ind w:firstLine="480" w:firstLineChars="200"/>
        <w:rPr>
          <w:rFonts w:ascii="仿宋_GB2312" w:hAnsi="宋体" w:eastAsia="仿宋_GB2312"/>
          <w:sz w:val="24"/>
        </w:rPr>
      </w:pPr>
      <w:r>
        <w:rPr>
          <w:rFonts w:hint="eastAsia" w:ascii="仿宋_GB2312" w:hAnsi="宋体" w:eastAsia="仿宋_GB2312"/>
          <w:sz w:val="24"/>
        </w:rPr>
        <w:t>合规引用或采用国际标准和国外先进标准，以及与国内外同类标准水平的对比情况。与国内同类标准相比，具有一定的先进性。</w:t>
      </w:r>
    </w:p>
    <w:p>
      <w:pPr>
        <w:spacing w:line="360" w:lineRule="auto"/>
        <w:ind w:firstLine="480" w:firstLineChars="200"/>
        <w:outlineLvl w:val="0"/>
        <w:rPr>
          <w:rFonts w:ascii="黑体" w:eastAsia="黑体"/>
          <w:sz w:val="24"/>
        </w:rPr>
      </w:pPr>
      <w:r>
        <w:rPr>
          <w:rFonts w:hint="eastAsia" w:ascii="黑体" w:eastAsia="黑体"/>
          <w:sz w:val="24"/>
        </w:rPr>
        <w:t>八</w:t>
      </w:r>
      <w:r>
        <w:rPr>
          <w:rFonts w:hint="eastAsia" w:ascii="黑体" w:eastAsia="黑体"/>
          <w:sz w:val="24"/>
          <w:lang w:eastAsia="zh-CN"/>
        </w:rPr>
        <w:t>、</w:t>
      </w:r>
      <w:r>
        <w:rPr>
          <w:rFonts w:hint="eastAsia" w:ascii="黑体" w:hAnsi="黑体" w:eastAsia="黑体"/>
          <w:sz w:val="24"/>
          <w:szCs w:val="24"/>
        </w:rPr>
        <w:t>作为推荐性标准或者强制性标准的建议及其理由。</w:t>
      </w:r>
    </w:p>
    <w:p>
      <w:pPr>
        <w:spacing w:line="360" w:lineRule="auto"/>
        <w:ind w:firstLine="480" w:firstLineChars="200"/>
        <w:jc w:val="left"/>
        <w:rPr>
          <w:rFonts w:ascii="仿宋_GB2312" w:hAnsi="宋体" w:eastAsia="仿宋_GB2312"/>
          <w:sz w:val="24"/>
        </w:rPr>
      </w:pPr>
      <w:r>
        <w:rPr>
          <w:rFonts w:ascii="仿宋_GB2312" w:hAnsi="宋体" w:eastAsia="仿宋_GB2312"/>
          <w:sz w:val="24"/>
        </w:rPr>
        <w:t>建议本标准为推荐性标准。</w:t>
      </w:r>
      <w:r>
        <w:rPr>
          <w:rFonts w:hint="eastAsia" w:ascii="仿宋_GB2312" w:hAnsi="宋体" w:eastAsia="仿宋_GB2312"/>
          <w:sz w:val="24"/>
        </w:rPr>
        <w:t>我国设施蔬菜生产水平参差不齐，机械化水平有限，但近3年来对二氧化碳技术有了一定的认识和了解，建议作为推荐性标准。</w:t>
      </w:r>
    </w:p>
    <w:p>
      <w:pPr>
        <w:spacing w:line="360" w:lineRule="auto"/>
        <w:ind w:firstLine="480" w:firstLineChars="200"/>
        <w:outlineLvl w:val="0"/>
        <w:rPr>
          <w:rFonts w:ascii="黑体" w:eastAsia="黑体"/>
          <w:sz w:val="24"/>
        </w:rPr>
      </w:pPr>
      <w:r>
        <w:rPr>
          <w:rFonts w:hint="eastAsia" w:ascii="黑体" w:eastAsia="黑体"/>
          <w:sz w:val="24"/>
        </w:rPr>
        <w:t>九</w:t>
      </w:r>
      <w:r>
        <w:rPr>
          <w:rFonts w:ascii="黑体" w:eastAsia="黑体"/>
          <w:sz w:val="24"/>
        </w:rPr>
        <w:t>、</w:t>
      </w:r>
      <w:r>
        <w:rPr>
          <w:rFonts w:hint="eastAsia" w:ascii="黑体" w:eastAsia="黑体"/>
          <w:sz w:val="24"/>
        </w:rPr>
        <w:t>实施</w:t>
      </w:r>
      <w:r>
        <w:rPr>
          <w:rFonts w:ascii="黑体" w:eastAsia="黑体"/>
          <w:sz w:val="24"/>
        </w:rPr>
        <w:t>标准的措施建议</w:t>
      </w:r>
    </w:p>
    <w:p>
      <w:pPr>
        <w:spacing w:line="360" w:lineRule="auto"/>
        <w:ind w:firstLine="480" w:firstLineChars="200"/>
        <w:jc w:val="left"/>
        <w:rPr>
          <w:rFonts w:hint="eastAsia" w:ascii="仿宋_GB2312" w:hAnsi="宋体" w:eastAsia="仿宋_GB2312"/>
          <w:b w:val="0"/>
          <w:bCs w:val="0"/>
          <w:sz w:val="24"/>
        </w:rPr>
      </w:pPr>
      <w:r>
        <w:rPr>
          <w:rFonts w:hint="eastAsia" w:ascii="仿宋_GB2312" w:hAnsi="宋体" w:eastAsia="仿宋_GB2312"/>
          <w:b w:val="0"/>
          <w:bCs w:val="0"/>
          <w:sz w:val="24"/>
          <w:lang w:val="en-US" w:eastAsia="zh-CN"/>
        </w:rPr>
        <w:t>1、</w:t>
      </w:r>
      <w:r>
        <w:rPr>
          <w:rFonts w:hint="eastAsia" w:ascii="仿宋_GB2312" w:hAnsi="宋体" w:eastAsia="仿宋_GB2312"/>
          <w:b w:val="0"/>
          <w:bCs w:val="0"/>
          <w:sz w:val="24"/>
        </w:rPr>
        <w:t>加大标准的宣传力度</w:t>
      </w:r>
    </w:p>
    <w:p>
      <w:pPr>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加大宣传力度，把该规程的实施作为提升山西省日光温室蔬菜产业水平的重要推手，作为山西省蔬菜产业技术体系的重点工作，在“山西农业网蔬菜子网”、“山西蔬菜微信”等媒体开辟专栏，在国内主要蔬菜期刊、杂志和报纸上对标准进行专题介绍和宣传，将该技术标准普及到基层生产企业和农民手中。</w:t>
      </w:r>
    </w:p>
    <w:p>
      <w:pPr>
        <w:spacing w:line="360" w:lineRule="auto"/>
        <w:ind w:firstLine="480" w:firstLineChars="200"/>
        <w:jc w:val="left"/>
        <w:rPr>
          <w:rFonts w:hint="eastAsia" w:ascii="仿宋_GB2312" w:hAnsi="宋体" w:eastAsia="仿宋_GB2312"/>
          <w:b w:val="0"/>
          <w:bCs w:val="0"/>
          <w:sz w:val="24"/>
        </w:rPr>
      </w:pPr>
      <w:r>
        <w:rPr>
          <w:rFonts w:hint="eastAsia" w:ascii="仿宋_GB2312" w:hAnsi="宋体" w:eastAsia="仿宋_GB2312"/>
          <w:b w:val="0"/>
          <w:bCs w:val="0"/>
          <w:sz w:val="24"/>
          <w:lang w:val="en-US" w:eastAsia="zh-CN"/>
        </w:rPr>
        <w:t>2、</w:t>
      </w:r>
      <w:r>
        <w:rPr>
          <w:rFonts w:hint="eastAsia" w:ascii="仿宋_GB2312" w:hAnsi="宋体" w:eastAsia="仿宋_GB2312"/>
          <w:b w:val="0"/>
          <w:bCs w:val="0"/>
          <w:sz w:val="24"/>
        </w:rPr>
        <w:t>建立标准化示范园</w:t>
      </w:r>
    </w:p>
    <w:p>
      <w:pPr>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通过在晋南、晋中、晋北主要蔬菜园区和合作社建立该规程示范点，创造最好的产品和效益样板，以点带面，以带动本规程的广泛实施。</w:t>
      </w:r>
    </w:p>
    <w:p>
      <w:pPr>
        <w:spacing w:line="360" w:lineRule="auto"/>
        <w:ind w:firstLine="480" w:firstLineChars="200"/>
        <w:jc w:val="left"/>
        <w:rPr>
          <w:rFonts w:hint="eastAsia" w:ascii="仿宋_GB2312" w:hAnsi="宋体" w:eastAsia="仿宋_GB2312"/>
          <w:b w:val="0"/>
          <w:bCs w:val="0"/>
          <w:sz w:val="24"/>
        </w:rPr>
      </w:pPr>
      <w:r>
        <w:rPr>
          <w:rFonts w:hint="eastAsia" w:ascii="仿宋_GB2312" w:hAnsi="宋体" w:eastAsia="仿宋_GB2312"/>
          <w:b w:val="0"/>
          <w:bCs w:val="0"/>
          <w:sz w:val="24"/>
          <w:lang w:val="en-US" w:eastAsia="zh-CN"/>
        </w:rPr>
        <w:t>3、</w:t>
      </w:r>
      <w:r>
        <w:rPr>
          <w:rFonts w:hint="eastAsia" w:ascii="仿宋_GB2312" w:hAnsi="宋体" w:eastAsia="仿宋_GB2312"/>
          <w:b w:val="0"/>
          <w:bCs w:val="0"/>
          <w:sz w:val="24"/>
        </w:rPr>
        <w:t>加强技术培训</w:t>
      </w:r>
    </w:p>
    <w:p>
      <w:pPr>
        <w:spacing w:line="360" w:lineRule="auto"/>
        <w:ind w:firstLine="480" w:firstLineChars="200"/>
        <w:jc w:val="left"/>
        <w:rPr>
          <w:rFonts w:hint="eastAsia" w:ascii="仿宋_GB2312" w:hAnsi="宋体" w:eastAsia="仿宋_GB2312"/>
          <w:sz w:val="24"/>
          <w:lang w:val="en-US" w:eastAsia="zh-CN"/>
        </w:rPr>
        <w:sectPr>
          <w:footerReference r:id="rId3" w:type="default"/>
          <w:pgSz w:w="11906" w:h="16838"/>
          <w:pgMar w:top="1440" w:right="1803" w:bottom="1440" w:left="1803" w:header="851" w:footer="992" w:gutter="0"/>
          <w:pgBorders>
            <w:top w:val="none" w:sz="0" w:space="0"/>
            <w:left w:val="none" w:sz="0" w:space="0"/>
            <w:bottom w:val="none" w:sz="0" w:space="0"/>
            <w:right w:val="none" w:sz="0" w:space="0"/>
          </w:pgBorders>
          <w:pgNumType w:start="1"/>
          <w:cols w:space="0" w:num="1"/>
          <w:titlePg/>
          <w:rtlGutter w:val="0"/>
          <w:docGrid w:type="lines" w:linePitch="319" w:charSpace="0"/>
        </w:sectPr>
      </w:pPr>
      <w:r>
        <w:rPr>
          <w:rFonts w:hint="eastAsia" w:ascii="仿宋_GB2312" w:hAnsi="宋体" w:eastAsia="仿宋_GB2312"/>
          <w:sz w:val="24"/>
        </w:rPr>
        <w:t>在该规程发布实施初期，在各个示范点进</w:t>
      </w:r>
      <w:r>
        <w:rPr>
          <w:rFonts w:hint="default" w:ascii="Times New Roman" w:hAnsi="Times New Roman" w:eastAsia="仿宋_GB2312" w:cs="Times New Roman"/>
          <w:sz w:val="24"/>
        </w:rPr>
        <w:t>行CO</w:t>
      </w:r>
      <w:r>
        <w:rPr>
          <w:rFonts w:hint="default" w:ascii="Times New Roman" w:hAnsi="Times New Roman" w:eastAsia="仿宋_GB2312" w:cs="Times New Roman"/>
          <w:sz w:val="24"/>
          <w:vertAlign w:val="subscript"/>
        </w:rPr>
        <w:t>2</w:t>
      </w:r>
      <w:r>
        <w:rPr>
          <w:rFonts w:hint="default" w:ascii="Times New Roman" w:hAnsi="Times New Roman" w:eastAsia="仿宋_GB2312" w:cs="Times New Roman"/>
          <w:sz w:val="24"/>
        </w:rPr>
        <w:t>施</w:t>
      </w:r>
      <w:r>
        <w:rPr>
          <w:rFonts w:hint="eastAsia" w:ascii="仿宋_GB2312" w:hAnsi="宋体" w:eastAsia="仿宋_GB2312"/>
          <w:sz w:val="24"/>
        </w:rPr>
        <w:t>肥标准化技术人员的培训及现场指导，做好技术示范，确保技术进村入户。</w:t>
      </w: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附表</w:t>
      </w:r>
    </w:p>
    <w:p>
      <w:pPr>
        <w:jc w:val="center"/>
        <w:rPr>
          <w:rFonts w:ascii="仿宋_GB2312" w:hAnsi="宋体" w:eastAsia="仿宋_GB2312"/>
          <w:sz w:val="24"/>
        </w:rPr>
      </w:pPr>
      <w:r>
        <w:rPr>
          <w:rFonts w:hint="eastAsia" w:ascii="仿宋_GB2312" w:hAnsi="宋体" w:eastAsia="仿宋_GB2312"/>
          <w:sz w:val="24"/>
          <w:lang w:val="en-US" w:eastAsia="zh-CN"/>
        </w:rPr>
        <w:t>设施蔬菜二氧化碳施肥</w:t>
      </w:r>
      <w:r>
        <w:rPr>
          <w:rFonts w:hint="eastAsia" w:ascii="仿宋_GB2312" w:hAnsi="宋体" w:eastAsia="仿宋_GB2312"/>
          <w:sz w:val="24"/>
        </w:rPr>
        <w:t>技术规程地方标准征求意见汇总处理表</w:t>
      </w:r>
    </w:p>
    <w:p>
      <w:pPr>
        <w:tabs>
          <w:tab w:val="left" w:pos="11340"/>
        </w:tabs>
        <w:ind w:firstLine="420" w:firstLineChars="200"/>
        <w:jc w:val="left"/>
        <w:rPr>
          <w:rFonts w:ascii="宋体" w:hAnsi="宋体"/>
          <w:szCs w:val="21"/>
        </w:rPr>
      </w:pPr>
      <w:r>
        <w:rPr>
          <w:rFonts w:hint="eastAsia" w:ascii="宋体" w:hAnsi="宋体"/>
          <w:szCs w:val="21"/>
        </w:rPr>
        <w:t xml:space="preserve">起草单位：山西农业大学 </w:t>
      </w:r>
      <w:r>
        <w:rPr>
          <w:rFonts w:ascii="宋体" w:hAnsi="宋体"/>
          <w:szCs w:val="21"/>
        </w:rPr>
        <w:t xml:space="preserve">     </w:t>
      </w:r>
      <w:r>
        <w:rPr>
          <w:rFonts w:hint="eastAsia" w:ascii="宋体" w:hAnsi="宋体"/>
          <w:szCs w:val="21"/>
        </w:rPr>
        <w:t xml:space="preserve">  承办人：</w:t>
      </w:r>
      <w:r>
        <w:rPr>
          <w:rFonts w:hint="eastAsia" w:ascii="宋体" w:hAnsi="宋体"/>
          <w:szCs w:val="21"/>
          <w:lang w:val="en-US" w:eastAsia="zh-CN"/>
        </w:rPr>
        <w:t>李斌</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联系电话：1</w:t>
      </w:r>
      <w:r>
        <w:rPr>
          <w:rFonts w:hint="eastAsia" w:ascii="宋体" w:hAnsi="宋体"/>
          <w:szCs w:val="21"/>
          <w:lang w:val="en-US" w:eastAsia="zh-CN"/>
        </w:rPr>
        <w:t>8335480758</w:t>
      </w:r>
      <w:r>
        <w:rPr>
          <w:rFonts w:hint="eastAsia" w:ascii="宋体" w:hAnsi="宋体"/>
          <w:szCs w:val="21"/>
        </w:rPr>
        <w:t xml:space="preserve">       填写时间：</w:t>
      </w:r>
      <w:r>
        <w:rPr>
          <w:szCs w:val="21"/>
        </w:rPr>
        <w:t>2024年</w:t>
      </w:r>
      <w:r>
        <w:rPr>
          <w:rFonts w:hint="eastAsia"/>
          <w:szCs w:val="21"/>
        </w:rPr>
        <w:t>2</w:t>
      </w:r>
      <w:r>
        <w:rPr>
          <w:szCs w:val="21"/>
        </w:rPr>
        <w:t>月18日</w:t>
      </w:r>
      <w:r>
        <w:rPr>
          <w:rFonts w:hint="eastAsia" w:ascii="宋体" w:hAnsi="宋体"/>
          <w:szCs w:val="21"/>
        </w:rPr>
        <w:t xml:space="preserve">       </w:t>
      </w:r>
    </w:p>
    <w:p>
      <w:pPr>
        <w:tabs>
          <w:tab w:val="left" w:pos="11340"/>
        </w:tabs>
        <w:ind w:firstLine="420" w:firstLineChars="200"/>
        <w:jc w:val="left"/>
        <w:rPr>
          <w:rFonts w:ascii="宋体" w:hAnsi="宋体"/>
          <w:szCs w:val="21"/>
        </w:rPr>
      </w:pPr>
      <w:r>
        <w:rPr>
          <w:rFonts w:hint="eastAsia"/>
          <w:szCs w:val="21"/>
        </w:rPr>
        <w:t xml:space="preserve">               </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1843"/>
        <w:gridCol w:w="3149"/>
        <w:gridCol w:w="3419"/>
        <w:gridCol w:w="1224"/>
        <w:gridCol w:w="3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rPr>
                <w:rFonts w:eastAsia="仿宋_GB2312"/>
                <w:b/>
                <w:szCs w:val="21"/>
              </w:rPr>
            </w:pPr>
            <w:r>
              <w:rPr>
                <w:rFonts w:eastAsia="仿宋_GB2312"/>
                <w:b/>
                <w:szCs w:val="21"/>
              </w:rPr>
              <w:t>序号</w:t>
            </w:r>
          </w:p>
        </w:tc>
        <w:tc>
          <w:tcPr>
            <w:tcW w:w="1843" w:type="dxa"/>
            <w:vAlign w:val="center"/>
          </w:tcPr>
          <w:p>
            <w:pPr>
              <w:spacing w:line="380" w:lineRule="exact"/>
              <w:jc w:val="center"/>
              <w:rPr>
                <w:rFonts w:eastAsia="仿宋_GB2312"/>
                <w:b/>
                <w:szCs w:val="21"/>
              </w:rPr>
            </w:pPr>
            <w:r>
              <w:rPr>
                <w:rFonts w:hint="eastAsia" w:eastAsia="仿宋_GB2312"/>
                <w:b/>
                <w:szCs w:val="21"/>
              </w:rPr>
              <w:t>标准章条编号</w:t>
            </w:r>
          </w:p>
        </w:tc>
        <w:tc>
          <w:tcPr>
            <w:tcW w:w="3149" w:type="dxa"/>
            <w:vAlign w:val="center"/>
          </w:tcPr>
          <w:p>
            <w:pPr>
              <w:spacing w:line="380" w:lineRule="exact"/>
              <w:jc w:val="center"/>
              <w:rPr>
                <w:rFonts w:eastAsia="仿宋_GB2312"/>
                <w:b/>
                <w:szCs w:val="21"/>
              </w:rPr>
            </w:pPr>
            <w:r>
              <w:rPr>
                <w:rFonts w:eastAsia="仿宋_GB2312"/>
                <w:b/>
                <w:szCs w:val="21"/>
              </w:rPr>
              <w:t>意见</w:t>
            </w:r>
            <w:r>
              <w:rPr>
                <w:rFonts w:hint="eastAsia" w:eastAsia="仿宋_GB2312"/>
                <w:b/>
                <w:szCs w:val="21"/>
              </w:rPr>
              <w:t>内容</w:t>
            </w:r>
          </w:p>
        </w:tc>
        <w:tc>
          <w:tcPr>
            <w:tcW w:w="3419" w:type="dxa"/>
            <w:vAlign w:val="center"/>
          </w:tcPr>
          <w:p>
            <w:pPr>
              <w:spacing w:line="380" w:lineRule="exact"/>
              <w:jc w:val="center"/>
              <w:rPr>
                <w:rFonts w:eastAsia="仿宋_GB2312"/>
                <w:b/>
                <w:szCs w:val="21"/>
              </w:rPr>
            </w:pPr>
            <w:r>
              <w:rPr>
                <w:rFonts w:hint="eastAsia" w:eastAsia="仿宋_GB2312"/>
                <w:b/>
                <w:szCs w:val="21"/>
              </w:rPr>
              <w:t>提出单位（或个人）</w:t>
            </w:r>
          </w:p>
        </w:tc>
        <w:tc>
          <w:tcPr>
            <w:tcW w:w="1224" w:type="dxa"/>
            <w:vAlign w:val="center"/>
          </w:tcPr>
          <w:p>
            <w:pPr>
              <w:spacing w:line="380" w:lineRule="exact"/>
              <w:jc w:val="center"/>
              <w:rPr>
                <w:rFonts w:eastAsia="仿宋_GB2312"/>
                <w:b/>
                <w:szCs w:val="21"/>
              </w:rPr>
            </w:pPr>
            <w:r>
              <w:rPr>
                <w:rFonts w:hint="eastAsia" w:eastAsia="仿宋_GB2312"/>
                <w:b/>
                <w:szCs w:val="21"/>
              </w:rPr>
              <w:t>处理意见（</w:t>
            </w:r>
            <w:r>
              <w:rPr>
                <w:rFonts w:eastAsia="仿宋_GB2312"/>
                <w:b/>
                <w:szCs w:val="21"/>
              </w:rPr>
              <w:t>采纳</w:t>
            </w:r>
            <w:r>
              <w:rPr>
                <w:rFonts w:hint="eastAsia" w:eastAsia="仿宋_GB2312"/>
                <w:b/>
                <w:szCs w:val="21"/>
              </w:rPr>
              <w:t>/不采纳）</w:t>
            </w:r>
          </w:p>
        </w:tc>
        <w:tc>
          <w:tcPr>
            <w:tcW w:w="3002" w:type="dxa"/>
            <w:vAlign w:val="center"/>
          </w:tcPr>
          <w:p>
            <w:pPr>
              <w:spacing w:line="380" w:lineRule="exact"/>
              <w:jc w:val="center"/>
              <w:rPr>
                <w:rFonts w:eastAsia="仿宋_GB2312"/>
                <w:b/>
                <w:szCs w:val="21"/>
              </w:rPr>
            </w:pPr>
            <w:r>
              <w:rPr>
                <w:rFonts w:hint="eastAsia" w:eastAsia="仿宋_GB2312"/>
                <w:b/>
                <w:szCs w:val="21"/>
              </w:rPr>
              <w:t>意见处理说明</w:t>
            </w:r>
          </w:p>
          <w:p>
            <w:pPr>
              <w:spacing w:line="380" w:lineRule="exact"/>
              <w:jc w:val="center"/>
              <w:rPr>
                <w:rFonts w:eastAsia="仿宋_GB2312"/>
                <w:b/>
                <w:szCs w:val="21"/>
              </w:rPr>
            </w:pPr>
            <w:r>
              <w:rPr>
                <w:rFonts w:hint="eastAsia" w:eastAsia="仿宋_GB2312"/>
                <w:b/>
                <w:szCs w:val="21"/>
              </w:rPr>
              <w:t>（不采纳的理由等）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hint="eastAsia" w:eastAsia="仿宋_GB2312"/>
                <w:b/>
                <w:sz w:val="18"/>
                <w:szCs w:val="18"/>
                <w:lang w:val="en-US" w:eastAsia="zh-CN"/>
              </w:rPr>
            </w:pPr>
            <w:r>
              <w:rPr>
                <w:rFonts w:hint="eastAsia" w:asciiTheme="minorEastAsia" w:hAnsiTheme="minorEastAsia" w:eastAsiaTheme="minorEastAsia"/>
                <w:b/>
                <w:sz w:val="18"/>
                <w:szCs w:val="18"/>
              </w:rPr>
              <w:t>1</w:t>
            </w:r>
          </w:p>
        </w:tc>
        <w:tc>
          <w:tcPr>
            <w:tcW w:w="1843" w:type="dxa"/>
            <w:vAlign w:val="center"/>
          </w:tcPr>
          <w:p>
            <w:pPr>
              <w:ind w:left="-107" w:leftChars="-51" w:firstLine="68" w:firstLineChars="38"/>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cs="Times New Roman"/>
                <w:kern w:val="2"/>
                <w:sz w:val="18"/>
                <w:szCs w:val="18"/>
                <w:lang w:val="en-US" w:eastAsia="zh-CN" w:bidi="ar-SA"/>
              </w:rPr>
              <w:t>条款2</w:t>
            </w:r>
          </w:p>
        </w:tc>
        <w:tc>
          <w:tcPr>
            <w:tcW w:w="3149" w:type="dxa"/>
            <w:vAlign w:val="center"/>
          </w:tcPr>
          <w:p>
            <w:pPr>
              <w:jc w:val="left"/>
              <w:rPr>
                <w:rFonts w:hint="default" w:ascii="Times New Roman" w:hAnsi="Times New Roman" w:eastAsia="宋体" w:cs="Times New Roman"/>
                <w:kern w:val="2"/>
                <w:sz w:val="18"/>
                <w:szCs w:val="18"/>
                <w:lang w:val="en-US" w:eastAsia="zh-CN" w:bidi="ar-SA"/>
              </w:rPr>
            </w:pPr>
            <w:r>
              <w:rPr>
                <w:rFonts w:hint="eastAsia" w:ascii="Times New Roman" w:hAnsi="Times New Roman" w:cs="Times New Roman"/>
                <w:kern w:val="2"/>
                <w:sz w:val="18"/>
                <w:szCs w:val="18"/>
                <w:lang w:val="en-US" w:eastAsia="zh-CN" w:bidi="ar-SA"/>
              </w:rPr>
              <w:t>删除引用已废止标准GB/T 19165，变更为J</w:t>
            </w:r>
            <w:r>
              <w:rPr>
                <w:rFonts w:hint="default" w:ascii="Times New Roman" w:hAnsi="Times New Roman" w:cs="Times New Roman"/>
                <w:kern w:val="2"/>
                <w:sz w:val="18"/>
                <w:szCs w:val="18"/>
                <w:lang w:val="en-US" w:eastAsia="zh-CN" w:bidi="ar-SA"/>
              </w:rPr>
              <w:t>B/T 1</w:t>
            </w:r>
            <w:r>
              <w:rPr>
                <w:rFonts w:hint="eastAsia" w:ascii="Times New Roman" w:hAnsi="Times New Roman" w:cs="Times New Roman"/>
                <w:kern w:val="2"/>
                <w:sz w:val="18"/>
                <w:szCs w:val="18"/>
                <w:lang w:val="en-US" w:eastAsia="zh-CN" w:bidi="ar-SA"/>
              </w:rPr>
              <w:t>0594</w:t>
            </w:r>
          </w:p>
        </w:tc>
        <w:tc>
          <w:tcPr>
            <w:tcW w:w="3419" w:type="dxa"/>
            <w:vAlign w:val="center"/>
          </w:tcPr>
          <w:p>
            <w:pPr>
              <w:ind w:left="-107" w:leftChars="-51" w:firstLine="68" w:firstLineChars="38"/>
              <w:jc w:val="left"/>
              <w:rPr>
                <w:rFonts w:hint="eastAsia" w:ascii="Times New Roman" w:hAnsi="Times New Roman" w:eastAsia="宋体" w:cs="Times New Roman"/>
                <w:kern w:val="2"/>
                <w:sz w:val="18"/>
                <w:szCs w:val="18"/>
                <w:lang w:val="en-US" w:eastAsia="zh-CN" w:bidi="ar-SA"/>
              </w:rPr>
            </w:pPr>
            <w:r>
              <w:rPr>
                <w:rFonts w:asciiTheme="minorEastAsia" w:hAnsiTheme="minorEastAsia" w:eastAsiaTheme="minorEastAsia"/>
                <w:sz w:val="18"/>
                <w:szCs w:val="18"/>
              </w:rPr>
              <w:t>山西省</w:t>
            </w:r>
            <w:r>
              <w:rPr>
                <w:rFonts w:hint="eastAsia" w:asciiTheme="minorEastAsia" w:hAnsiTheme="minorEastAsia" w:eastAsiaTheme="minorEastAsia"/>
                <w:sz w:val="18"/>
                <w:szCs w:val="18"/>
              </w:rPr>
              <w:t>园艺产业中心</w:t>
            </w:r>
          </w:p>
        </w:tc>
        <w:tc>
          <w:tcPr>
            <w:tcW w:w="1224" w:type="dxa"/>
            <w:vAlign w:val="center"/>
          </w:tcPr>
          <w:p>
            <w:pPr>
              <w:jc w:val="center"/>
              <w:rPr>
                <w:rFonts w:hint="eastAsia" w:ascii="Times New Roman" w:hAnsi="Times New Roman" w:eastAsia="宋体" w:cs="Times New Roman"/>
                <w:kern w:val="2"/>
                <w:sz w:val="18"/>
                <w:szCs w:val="18"/>
                <w:lang w:val="en-US" w:eastAsia="zh-CN" w:bidi="ar-SA"/>
              </w:rPr>
            </w:pPr>
            <w:r>
              <w:rPr>
                <w:rFonts w:ascii="宋体" w:hAnsi="宋体"/>
                <w:bCs/>
                <w:sz w:val="18"/>
                <w:szCs w:val="18"/>
              </w:rPr>
              <w:t>采纳</w:t>
            </w:r>
          </w:p>
        </w:tc>
        <w:tc>
          <w:tcPr>
            <w:tcW w:w="3002" w:type="dxa"/>
            <w:vAlign w:val="center"/>
          </w:tcPr>
          <w:p>
            <w:pPr>
              <w:spacing w:line="380" w:lineRule="exact"/>
              <w:jc w:val="center"/>
              <w:rPr>
                <w:rFonts w:hint="eastAsia" w:eastAsia="仿宋_GB2312"/>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cs="Times New Roman" w:asciiTheme="minorEastAsia" w:hAnsiTheme="minorEastAsia" w:eastAsiaTheme="minorEastAsia"/>
                <w:b/>
                <w:kern w:val="2"/>
                <w:sz w:val="18"/>
                <w:szCs w:val="18"/>
                <w:lang w:val="en-US" w:eastAsia="zh-CN" w:bidi="ar-SA"/>
              </w:rPr>
            </w:pPr>
            <w:r>
              <w:rPr>
                <w:rFonts w:hint="eastAsia" w:asciiTheme="minorEastAsia" w:hAnsiTheme="minorEastAsia" w:eastAsiaTheme="minorEastAsia"/>
                <w:b/>
                <w:sz w:val="18"/>
                <w:szCs w:val="18"/>
              </w:rPr>
              <w:t>2</w:t>
            </w:r>
          </w:p>
        </w:tc>
        <w:tc>
          <w:tcPr>
            <w:tcW w:w="1843" w:type="dxa"/>
            <w:vAlign w:val="center"/>
          </w:tcPr>
          <w:p>
            <w:pPr>
              <w:ind w:left="-107" w:leftChars="-51" w:firstLine="68" w:firstLineChars="38"/>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cs="Times New Roman"/>
                <w:sz w:val="18"/>
                <w:szCs w:val="18"/>
                <w:lang w:val="en-US" w:eastAsia="zh-CN"/>
              </w:rPr>
              <w:t>条款3</w:t>
            </w:r>
          </w:p>
        </w:tc>
        <w:tc>
          <w:tcPr>
            <w:tcW w:w="3149" w:type="dxa"/>
            <w:vAlign w:val="center"/>
          </w:tcPr>
          <w:p>
            <w:pPr>
              <w:ind w:left="-107" w:leftChars="-51" w:firstLine="68" w:firstLineChars="38"/>
              <w:jc w:val="left"/>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删除“日光温室”、“二氧化碳施肥”</w:t>
            </w:r>
          </w:p>
        </w:tc>
        <w:tc>
          <w:tcPr>
            <w:tcW w:w="3419" w:type="dxa"/>
            <w:vAlign w:val="center"/>
          </w:tcPr>
          <w:p>
            <w:pPr>
              <w:ind w:left="-107" w:leftChars="-51" w:firstLine="68" w:firstLineChars="38"/>
              <w:jc w:val="left"/>
              <w:rPr>
                <w:rFonts w:hint="eastAsia" w:ascii="Times New Roman" w:hAnsi="Times New Roman" w:eastAsia="宋体" w:cs="Times New Roman"/>
                <w:kern w:val="2"/>
                <w:sz w:val="18"/>
                <w:szCs w:val="18"/>
                <w:lang w:val="en-US" w:eastAsia="zh-CN" w:bidi="ar-SA"/>
              </w:rPr>
            </w:pPr>
            <w:r>
              <w:rPr>
                <w:rFonts w:asciiTheme="minorEastAsia" w:hAnsiTheme="minorEastAsia" w:eastAsiaTheme="minorEastAsia"/>
                <w:sz w:val="18"/>
                <w:szCs w:val="18"/>
              </w:rPr>
              <w:t>山西省</w:t>
            </w:r>
            <w:r>
              <w:rPr>
                <w:rFonts w:hint="eastAsia" w:asciiTheme="minorEastAsia" w:hAnsiTheme="minorEastAsia" w:eastAsiaTheme="minorEastAsia"/>
                <w:sz w:val="18"/>
                <w:szCs w:val="18"/>
              </w:rPr>
              <w:t>园艺产业中心</w:t>
            </w:r>
          </w:p>
        </w:tc>
        <w:tc>
          <w:tcPr>
            <w:tcW w:w="1224" w:type="dxa"/>
            <w:vAlign w:val="center"/>
          </w:tcPr>
          <w:p>
            <w:pPr>
              <w:jc w:val="center"/>
              <w:rPr>
                <w:rFonts w:hint="eastAsia" w:ascii="Times New Roman" w:hAnsi="Times New Roman" w:eastAsia="宋体" w:cs="Times New Roman"/>
                <w:kern w:val="2"/>
                <w:sz w:val="18"/>
                <w:szCs w:val="18"/>
                <w:lang w:val="en-US" w:eastAsia="zh-CN" w:bidi="ar-SA"/>
              </w:rPr>
            </w:pPr>
            <w:r>
              <w:rPr>
                <w:rFonts w:ascii="宋体" w:hAnsi="宋体"/>
                <w:bCs/>
                <w:sz w:val="18"/>
                <w:szCs w:val="18"/>
              </w:rPr>
              <w:t>采纳</w:t>
            </w:r>
          </w:p>
        </w:tc>
        <w:tc>
          <w:tcPr>
            <w:tcW w:w="3002" w:type="dxa"/>
            <w:vAlign w:val="center"/>
          </w:tcPr>
          <w:p>
            <w:pPr>
              <w:spacing w:line="380" w:lineRule="exact"/>
              <w:jc w:val="center"/>
              <w:rPr>
                <w:rFonts w:hint="eastAsia" w:eastAsia="仿宋_GB2312"/>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cs="Times New Roman" w:asciiTheme="minorEastAsia" w:hAnsiTheme="minorEastAsia" w:eastAsiaTheme="minorEastAsia"/>
                <w:b/>
                <w:kern w:val="2"/>
                <w:sz w:val="18"/>
                <w:szCs w:val="18"/>
                <w:lang w:val="en-US" w:eastAsia="zh-CN" w:bidi="ar-SA"/>
              </w:rPr>
            </w:pPr>
            <w:r>
              <w:rPr>
                <w:rFonts w:hint="eastAsia" w:asciiTheme="minorEastAsia" w:hAnsiTheme="minorEastAsia" w:eastAsiaTheme="minorEastAsia"/>
                <w:b/>
                <w:sz w:val="18"/>
                <w:szCs w:val="18"/>
              </w:rPr>
              <w:t>3</w:t>
            </w:r>
          </w:p>
        </w:tc>
        <w:tc>
          <w:tcPr>
            <w:tcW w:w="1843" w:type="dxa"/>
            <w:vAlign w:val="center"/>
          </w:tcPr>
          <w:p>
            <w:pPr>
              <w:ind w:left="-107" w:leftChars="-51" w:firstLine="68" w:firstLineChars="38"/>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cs="Times New Roman"/>
                <w:sz w:val="18"/>
                <w:szCs w:val="18"/>
                <w:lang w:val="en-US" w:eastAsia="zh-CN"/>
              </w:rPr>
              <w:t>条款5-7</w:t>
            </w:r>
          </w:p>
        </w:tc>
        <w:tc>
          <w:tcPr>
            <w:tcW w:w="3149" w:type="dxa"/>
            <w:vAlign w:val="center"/>
          </w:tcPr>
          <w:p>
            <w:pPr>
              <w:jc w:val="left"/>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调整顺序，按“浓度”</w:t>
            </w:r>
            <w:r>
              <w:rPr>
                <w:rFonts w:hint="eastAsia" w:ascii="Times New Roman" w:hAnsi="Times New Roman" w:cs="Times New Roman"/>
                <w:sz w:val="18"/>
                <w:szCs w:val="18"/>
                <w:lang w:eastAsia="zh-CN"/>
              </w:rPr>
              <w:t>、</w:t>
            </w:r>
            <w:r>
              <w:rPr>
                <w:rFonts w:hint="default" w:ascii="Times New Roman" w:hAnsi="Times New Roman" w:cs="Times New Roman"/>
                <w:sz w:val="18"/>
                <w:szCs w:val="18"/>
              </w:rPr>
              <w:t>“时间”</w:t>
            </w:r>
            <w:r>
              <w:rPr>
                <w:rFonts w:hint="eastAsia" w:ascii="Times New Roman" w:hAnsi="Times New Roman" w:cs="Times New Roman"/>
                <w:sz w:val="18"/>
                <w:szCs w:val="18"/>
                <w:lang w:eastAsia="zh-CN"/>
              </w:rPr>
              <w:t>、</w:t>
            </w:r>
            <w:r>
              <w:rPr>
                <w:rFonts w:hint="default" w:ascii="Times New Roman" w:hAnsi="Times New Roman" w:cs="Times New Roman"/>
                <w:sz w:val="18"/>
                <w:szCs w:val="18"/>
              </w:rPr>
              <w:t>“方法”顺序编写</w:t>
            </w:r>
          </w:p>
        </w:tc>
        <w:tc>
          <w:tcPr>
            <w:tcW w:w="3419" w:type="dxa"/>
            <w:vAlign w:val="center"/>
          </w:tcPr>
          <w:p>
            <w:pPr>
              <w:ind w:left="-107" w:leftChars="-51" w:firstLine="68" w:firstLineChars="38"/>
              <w:jc w:val="left"/>
              <w:rPr>
                <w:rFonts w:hint="eastAsia" w:ascii="Times New Roman" w:hAnsi="Times New Roman" w:eastAsia="宋体" w:cs="Times New Roman"/>
                <w:kern w:val="2"/>
                <w:sz w:val="18"/>
                <w:szCs w:val="18"/>
                <w:lang w:val="en-US" w:eastAsia="zh-CN" w:bidi="ar-SA"/>
              </w:rPr>
            </w:pPr>
            <w:r>
              <w:rPr>
                <w:rFonts w:hint="eastAsia" w:asciiTheme="minorEastAsia" w:hAnsiTheme="minorEastAsia" w:eastAsiaTheme="minorEastAsia"/>
                <w:sz w:val="18"/>
                <w:szCs w:val="18"/>
              </w:rPr>
              <w:t>山西省蔬菜产业技术体系</w:t>
            </w:r>
          </w:p>
        </w:tc>
        <w:tc>
          <w:tcPr>
            <w:tcW w:w="1224" w:type="dxa"/>
            <w:vAlign w:val="center"/>
          </w:tcPr>
          <w:p>
            <w:pPr>
              <w:ind w:left="-107" w:leftChars="-51"/>
              <w:jc w:val="center"/>
              <w:rPr>
                <w:rFonts w:hint="eastAsia" w:ascii="Times New Roman" w:hAnsi="Times New Roman" w:eastAsia="宋体" w:cs="Times New Roman"/>
                <w:kern w:val="2"/>
                <w:sz w:val="18"/>
                <w:szCs w:val="18"/>
                <w:lang w:val="en-US" w:eastAsia="zh-CN" w:bidi="ar-SA"/>
              </w:rPr>
            </w:pPr>
            <w:r>
              <w:rPr>
                <w:rFonts w:hint="eastAsia" w:ascii="宋体" w:hAnsi="宋体"/>
                <w:bCs/>
                <w:sz w:val="18"/>
                <w:szCs w:val="18"/>
                <w:lang w:val="en-US" w:eastAsia="zh-CN"/>
              </w:rPr>
              <w:t xml:space="preserve"> </w:t>
            </w:r>
            <w:r>
              <w:rPr>
                <w:rFonts w:ascii="宋体" w:hAnsi="宋体"/>
                <w:bCs/>
                <w:sz w:val="18"/>
                <w:szCs w:val="18"/>
              </w:rPr>
              <w:t>采纳</w:t>
            </w:r>
          </w:p>
        </w:tc>
        <w:tc>
          <w:tcPr>
            <w:tcW w:w="3002" w:type="dxa"/>
            <w:vAlign w:val="center"/>
          </w:tcPr>
          <w:p>
            <w:pPr>
              <w:spacing w:line="380" w:lineRule="exact"/>
              <w:jc w:val="center"/>
              <w:rPr>
                <w:rFonts w:hint="eastAsia" w:eastAsia="仿宋_GB2312"/>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948" w:type="dxa"/>
            <w:vAlign w:val="center"/>
          </w:tcPr>
          <w:p>
            <w:pPr>
              <w:spacing w:line="380" w:lineRule="exact"/>
              <w:jc w:val="center"/>
              <w:rPr>
                <w:rFonts w:cs="Times New Roman" w:asciiTheme="minorEastAsia" w:hAnsiTheme="minorEastAsia" w:eastAsiaTheme="minorEastAsia"/>
                <w:b/>
                <w:kern w:val="2"/>
                <w:sz w:val="18"/>
                <w:szCs w:val="18"/>
                <w:lang w:val="en-US" w:eastAsia="zh-CN" w:bidi="ar-SA"/>
              </w:rPr>
            </w:pPr>
            <w:r>
              <w:rPr>
                <w:rFonts w:hint="eastAsia" w:asciiTheme="minorEastAsia" w:hAnsiTheme="minorEastAsia" w:eastAsiaTheme="minorEastAsia"/>
                <w:b/>
                <w:sz w:val="18"/>
                <w:szCs w:val="18"/>
              </w:rPr>
              <w:t>4</w:t>
            </w:r>
          </w:p>
        </w:tc>
        <w:tc>
          <w:tcPr>
            <w:tcW w:w="1843" w:type="dxa"/>
            <w:vAlign w:val="center"/>
          </w:tcPr>
          <w:p>
            <w:pPr>
              <w:spacing w:line="380" w:lineRule="exact"/>
              <w:jc w:val="center"/>
              <w:rPr>
                <w:rFonts w:hint="default" w:eastAsia="仿宋_GB2312"/>
                <w:b/>
                <w:sz w:val="18"/>
                <w:szCs w:val="18"/>
                <w:lang w:val="en-US" w:eastAsia="zh-CN"/>
              </w:rPr>
            </w:pPr>
            <w:r>
              <w:rPr>
                <w:rFonts w:hint="eastAsia" w:eastAsia="仿宋_GB2312"/>
                <w:b w:val="0"/>
                <w:bCs/>
                <w:sz w:val="18"/>
                <w:szCs w:val="18"/>
                <w:lang w:val="en-US" w:eastAsia="zh-CN"/>
              </w:rPr>
              <w:t>条款7</w:t>
            </w:r>
          </w:p>
        </w:tc>
        <w:tc>
          <w:tcPr>
            <w:tcW w:w="3149" w:type="dxa"/>
            <w:vAlign w:val="center"/>
          </w:tcPr>
          <w:p>
            <w:pPr>
              <w:ind w:left="-107" w:leftChars="-51" w:firstLine="68" w:firstLineChars="38"/>
              <w:jc w:val="left"/>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优化</w:t>
            </w:r>
            <w:r>
              <w:rPr>
                <w:rFonts w:hint="eastAsia" w:ascii="Times New Roman" w:hAnsi="Times New Roman" w:cs="Times New Roman"/>
                <w:sz w:val="18"/>
                <w:szCs w:val="18"/>
                <w:lang w:val="en-US" w:eastAsia="zh-CN"/>
              </w:rPr>
              <w:t>和合并二氧化碳施肥</w:t>
            </w:r>
            <w:r>
              <w:rPr>
                <w:rFonts w:hint="default" w:ascii="Times New Roman" w:hAnsi="Times New Roman" w:cs="Times New Roman"/>
                <w:sz w:val="18"/>
                <w:szCs w:val="18"/>
              </w:rPr>
              <w:t>方法</w:t>
            </w:r>
          </w:p>
        </w:tc>
        <w:tc>
          <w:tcPr>
            <w:tcW w:w="3419" w:type="dxa"/>
            <w:vAlign w:val="center"/>
          </w:tcPr>
          <w:p>
            <w:pPr>
              <w:spacing w:line="380" w:lineRule="exact"/>
              <w:jc w:val="both"/>
              <w:rPr>
                <w:rFonts w:hint="default" w:eastAsia="仿宋_GB2312"/>
                <w:b/>
                <w:sz w:val="18"/>
                <w:szCs w:val="18"/>
                <w:lang w:val="en-US" w:eastAsia="zh-CN"/>
              </w:rPr>
            </w:pPr>
            <w:r>
              <w:rPr>
                <w:rFonts w:hint="eastAsia" w:cs="Times New Roman" w:asciiTheme="minorEastAsia" w:hAnsiTheme="minorEastAsia" w:eastAsiaTheme="minorEastAsia"/>
                <w:sz w:val="18"/>
                <w:szCs w:val="18"/>
                <w:lang w:val="en-US" w:eastAsia="zh-CN"/>
              </w:rPr>
              <w:t>曲沃县智慧菜谷发展服务中心</w:t>
            </w:r>
          </w:p>
        </w:tc>
        <w:tc>
          <w:tcPr>
            <w:tcW w:w="1224" w:type="dxa"/>
            <w:vAlign w:val="center"/>
          </w:tcPr>
          <w:p>
            <w:pPr>
              <w:spacing w:line="380" w:lineRule="exact"/>
              <w:jc w:val="center"/>
              <w:rPr>
                <w:rFonts w:hint="eastAsia" w:eastAsia="仿宋_GB2312"/>
                <w:b/>
                <w:sz w:val="18"/>
                <w:szCs w:val="18"/>
              </w:rPr>
            </w:pPr>
            <w:r>
              <w:rPr>
                <w:rFonts w:ascii="宋体" w:hAnsi="宋体"/>
                <w:bCs/>
                <w:sz w:val="18"/>
                <w:szCs w:val="18"/>
              </w:rPr>
              <w:t>采纳</w:t>
            </w:r>
          </w:p>
        </w:tc>
        <w:tc>
          <w:tcPr>
            <w:tcW w:w="3002" w:type="dxa"/>
            <w:vAlign w:val="center"/>
          </w:tcPr>
          <w:p>
            <w:pPr>
              <w:spacing w:line="380" w:lineRule="exact"/>
              <w:jc w:val="center"/>
              <w:rPr>
                <w:rFonts w:hint="eastAsia" w:eastAsia="仿宋_GB2312"/>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948" w:type="dxa"/>
            <w:vAlign w:val="center"/>
          </w:tcPr>
          <w:p>
            <w:pPr>
              <w:spacing w:line="380" w:lineRule="exact"/>
              <w:jc w:val="center"/>
              <w:rPr>
                <w:rFonts w:cs="Times New Roman" w:asciiTheme="minorEastAsia" w:hAnsiTheme="minorEastAsia" w:eastAsiaTheme="minorEastAsia"/>
                <w:b/>
                <w:kern w:val="2"/>
                <w:sz w:val="18"/>
                <w:szCs w:val="18"/>
                <w:lang w:val="en-US" w:eastAsia="zh-CN" w:bidi="ar-SA"/>
              </w:rPr>
            </w:pPr>
          </w:p>
        </w:tc>
        <w:tc>
          <w:tcPr>
            <w:tcW w:w="1843" w:type="dxa"/>
            <w:vAlign w:val="center"/>
          </w:tcPr>
          <w:p>
            <w:pPr>
              <w:spacing w:line="380" w:lineRule="exact"/>
              <w:jc w:val="center"/>
              <w:rPr>
                <w:rFonts w:hint="eastAsia" w:eastAsia="仿宋_GB2312"/>
                <w:b/>
                <w:sz w:val="18"/>
                <w:szCs w:val="18"/>
              </w:rPr>
            </w:pPr>
          </w:p>
        </w:tc>
        <w:tc>
          <w:tcPr>
            <w:tcW w:w="3149" w:type="dxa"/>
            <w:vAlign w:val="center"/>
          </w:tcPr>
          <w:p>
            <w:pPr>
              <w:spacing w:line="380" w:lineRule="exact"/>
              <w:jc w:val="center"/>
              <w:rPr>
                <w:rFonts w:eastAsia="仿宋_GB2312"/>
                <w:b/>
                <w:sz w:val="18"/>
                <w:szCs w:val="18"/>
              </w:rPr>
            </w:pPr>
          </w:p>
        </w:tc>
        <w:tc>
          <w:tcPr>
            <w:tcW w:w="3419" w:type="dxa"/>
            <w:vAlign w:val="center"/>
          </w:tcPr>
          <w:p>
            <w:pPr>
              <w:spacing w:line="380" w:lineRule="exact"/>
              <w:jc w:val="center"/>
              <w:rPr>
                <w:rFonts w:hint="eastAsia" w:eastAsia="仿宋_GB2312"/>
                <w:b/>
                <w:sz w:val="18"/>
                <w:szCs w:val="18"/>
              </w:rPr>
            </w:pPr>
          </w:p>
        </w:tc>
        <w:tc>
          <w:tcPr>
            <w:tcW w:w="1224" w:type="dxa"/>
            <w:vAlign w:val="center"/>
          </w:tcPr>
          <w:p>
            <w:pPr>
              <w:spacing w:line="380" w:lineRule="exact"/>
              <w:jc w:val="center"/>
              <w:rPr>
                <w:rFonts w:hint="eastAsia" w:eastAsia="仿宋_GB2312"/>
                <w:b/>
                <w:sz w:val="18"/>
                <w:szCs w:val="18"/>
              </w:rPr>
            </w:pPr>
          </w:p>
        </w:tc>
        <w:tc>
          <w:tcPr>
            <w:tcW w:w="3002" w:type="dxa"/>
            <w:vAlign w:val="center"/>
          </w:tcPr>
          <w:p>
            <w:pPr>
              <w:spacing w:line="380" w:lineRule="exact"/>
              <w:jc w:val="center"/>
              <w:rPr>
                <w:rFonts w:hint="eastAsia" w:eastAsia="仿宋_GB2312"/>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948" w:type="dxa"/>
            <w:vAlign w:val="center"/>
          </w:tcPr>
          <w:p>
            <w:pPr>
              <w:spacing w:line="380" w:lineRule="exact"/>
              <w:jc w:val="center"/>
              <w:rPr>
                <w:rFonts w:cs="Times New Roman" w:asciiTheme="minorEastAsia" w:hAnsiTheme="minorEastAsia" w:eastAsiaTheme="minorEastAsia"/>
                <w:b/>
                <w:kern w:val="2"/>
                <w:sz w:val="18"/>
                <w:szCs w:val="18"/>
                <w:lang w:val="en-US" w:eastAsia="zh-CN" w:bidi="ar-SA"/>
              </w:rPr>
            </w:pPr>
          </w:p>
        </w:tc>
        <w:tc>
          <w:tcPr>
            <w:tcW w:w="1843" w:type="dxa"/>
            <w:vAlign w:val="center"/>
          </w:tcPr>
          <w:p>
            <w:pPr>
              <w:spacing w:line="380" w:lineRule="exact"/>
              <w:jc w:val="center"/>
              <w:rPr>
                <w:rFonts w:asciiTheme="minorEastAsia" w:hAnsiTheme="minorEastAsia" w:eastAsiaTheme="minorEastAsia"/>
                <w:b/>
                <w:sz w:val="18"/>
                <w:szCs w:val="18"/>
              </w:rPr>
            </w:pPr>
          </w:p>
        </w:tc>
        <w:tc>
          <w:tcPr>
            <w:tcW w:w="3149" w:type="dxa"/>
            <w:vAlign w:val="center"/>
          </w:tcPr>
          <w:p>
            <w:pPr>
              <w:spacing w:line="380" w:lineRule="exact"/>
              <w:jc w:val="center"/>
              <w:rPr>
                <w:rFonts w:asciiTheme="minorEastAsia" w:hAnsiTheme="minorEastAsia" w:eastAsiaTheme="minorEastAsia"/>
                <w:b/>
                <w:sz w:val="18"/>
                <w:szCs w:val="18"/>
              </w:rPr>
            </w:pPr>
          </w:p>
        </w:tc>
        <w:tc>
          <w:tcPr>
            <w:tcW w:w="3419" w:type="dxa"/>
            <w:vAlign w:val="center"/>
          </w:tcPr>
          <w:p>
            <w:pPr>
              <w:spacing w:line="380" w:lineRule="exact"/>
              <w:jc w:val="center"/>
              <w:rPr>
                <w:rFonts w:asciiTheme="minorEastAsia" w:hAnsiTheme="minorEastAsia" w:eastAsiaTheme="minorEastAsia"/>
                <w:b/>
                <w:sz w:val="18"/>
                <w:szCs w:val="18"/>
              </w:rPr>
            </w:pPr>
          </w:p>
        </w:tc>
        <w:tc>
          <w:tcPr>
            <w:tcW w:w="1224" w:type="dxa"/>
            <w:vAlign w:val="center"/>
          </w:tcPr>
          <w:p>
            <w:pPr>
              <w:spacing w:line="380" w:lineRule="exact"/>
              <w:jc w:val="center"/>
              <w:rPr>
                <w:rFonts w:ascii="宋体" w:hAnsi="宋体"/>
                <w:bCs/>
                <w:sz w:val="18"/>
                <w:szCs w:val="18"/>
              </w:rPr>
            </w:pPr>
          </w:p>
        </w:tc>
        <w:tc>
          <w:tcPr>
            <w:tcW w:w="3002" w:type="dxa"/>
            <w:vAlign w:val="center"/>
          </w:tcPr>
          <w:p>
            <w:pPr>
              <w:spacing w:line="380" w:lineRule="exact"/>
              <w:jc w:val="center"/>
              <w:rPr>
                <w:rFonts w:eastAsia="仿宋_GB2312"/>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asciiTheme="minorEastAsia" w:hAnsiTheme="minorEastAsia" w:eastAsiaTheme="minorEastAsia"/>
                <w:b/>
                <w:szCs w:val="21"/>
              </w:rPr>
            </w:pPr>
          </w:p>
        </w:tc>
        <w:tc>
          <w:tcPr>
            <w:tcW w:w="1843" w:type="dxa"/>
            <w:vAlign w:val="center"/>
          </w:tcPr>
          <w:p>
            <w:pPr>
              <w:spacing w:line="380" w:lineRule="exact"/>
              <w:jc w:val="center"/>
              <w:rPr>
                <w:rFonts w:asciiTheme="minorEastAsia" w:hAnsiTheme="minorEastAsia" w:eastAsiaTheme="minorEastAsia"/>
                <w:b/>
                <w:szCs w:val="21"/>
              </w:rPr>
            </w:pPr>
          </w:p>
        </w:tc>
        <w:tc>
          <w:tcPr>
            <w:tcW w:w="3149" w:type="dxa"/>
            <w:vAlign w:val="center"/>
          </w:tcPr>
          <w:p>
            <w:pPr>
              <w:spacing w:line="380" w:lineRule="exact"/>
              <w:jc w:val="center"/>
              <w:rPr>
                <w:rFonts w:asciiTheme="minorEastAsia" w:hAnsiTheme="minorEastAsia" w:eastAsiaTheme="minorEastAsia"/>
                <w:b/>
                <w:szCs w:val="21"/>
              </w:rPr>
            </w:pPr>
          </w:p>
        </w:tc>
        <w:tc>
          <w:tcPr>
            <w:tcW w:w="3419" w:type="dxa"/>
            <w:vAlign w:val="center"/>
          </w:tcPr>
          <w:p>
            <w:pPr>
              <w:spacing w:line="380" w:lineRule="exact"/>
              <w:jc w:val="center"/>
              <w:rPr>
                <w:rFonts w:asciiTheme="minorEastAsia" w:hAnsiTheme="minorEastAsia" w:eastAsiaTheme="minorEastAsia"/>
                <w:b/>
                <w:szCs w:val="21"/>
              </w:rPr>
            </w:pPr>
          </w:p>
        </w:tc>
        <w:tc>
          <w:tcPr>
            <w:tcW w:w="1224" w:type="dxa"/>
            <w:vAlign w:val="center"/>
          </w:tcPr>
          <w:p>
            <w:pPr>
              <w:spacing w:line="380" w:lineRule="exact"/>
              <w:jc w:val="center"/>
              <w:rPr>
                <w:rFonts w:ascii="宋体" w:hAnsi="宋体"/>
                <w:bCs/>
                <w:szCs w:val="21"/>
              </w:rPr>
            </w:pPr>
          </w:p>
        </w:tc>
        <w:tc>
          <w:tcPr>
            <w:tcW w:w="3002" w:type="dxa"/>
            <w:vAlign w:val="center"/>
          </w:tcPr>
          <w:p>
            <w:pPr>
              <w:spacing w:line="380" w:lineRule="exact"/>
              <w:jc w:val="center"/>
              <w:rPr>
                <w:rFonts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asciiTheme="minorEastAsia" w:hAnsiTheme="minorEastAsia" w:eastAsiaTheme="minorEastAsia"/>
                <w:b/>
                <w:szCs w:val="21"/>
              </w:rPr>
            </w:pPr>
          </w:p>
        </w:tc>
        <w:tc>
          <w:tcPr>
            <w:tcW w:w="1843" w:type="dxa"/>
            <w:vAlign w:val="center"/>
          </w:tcPr>
          <w:p>
            <w:pPr>
              <w:spacing w:line="380" w:lineRule="exact"/>
              <w:jc w:val="center"/>
              <w:rPr>
                <w:rFonts w:asciiTheme="minorEastAsia" w:hAnsiTheme="minorEastAsia" w:eastAsiaTheme="minorEastAsia"/>
                <w:bCs/>
                <w:szCs w:val="21"/>
              </w:rPr>
            </w:pPr>
          </w:p>
        </w:tc>
        <w:tc>
          <w:tcPr>
            <w:tcW w:w="3149" w:type="dxa"/>
            <w:vAlign w:val="center"/>
          </w:tcPr>
          <w:p>
            <w:pPr>
              <w:spacing w:line="380" w:lineRule="exact"/>
              <w:jc w:val="center"/>
              <w:rPr>
                <w:rFonts w:asciiTheme="minorEastAsia" w:hAnsiTheme="minorEastAsia" w:eastAsiaTheme="minorEastAsia"/>
                <w:bCs/>
                <w:szCs w:val="21"/>
              </w:rPr>
            </w:pPr>
          </w:p>
        </w:tc>
        <w:tc>
          <w:tcPr>
            <w:tcW w:w="3419" w:type="dxa"/>
            <w:vAlign w:val="center"/>
          </w:tcPr>
          <w:p>
            <w:pPr>
              <w:spacing w:line="380" w:lineRule="exact"/>
              <w:jc w:val="center"/>
              <w:rPr>
                <w:rFonts w:asciiTheme="minorEastAsia" w:hAnsiTheme="minorEastAsia" w:eastAsiaTheme="minorEastAsia"/>
                <w:szCs w:val="21"/>
              </w:rPr>
            </w:pPr>
          </w:p>
        </w:tc>
        <w:tc>
          <w:tcPr>
            <w:tcW w:w="1224" w:type="dxa"/>
            <w:vAlign w:val="center"/>
          </w:tcPr>
          <w:p>
            <w:pPr>
              <w:spacing w:line="380" w:lineRule="exact"/>
              <w:jc w:val="center"/>
              <w:rPr>
                <w:rFonts w:ascii="宋体" w:hAnsi="宋体"/>
                <w:bCs/>
                <w:szCs w:val="21"/>
              </w:rPr>
            </w:pPr>
          </w:p>
        </w:tc>
        <w:tc>
          <w:tcPr>
            <w:tcW w:w="3002" w:type="dxa"/>
            <w:vAlign w:val="center"/>
          </w:tcPr>
          <w:p>
            <w:pPr>
              <w:spacing w:line="380" w:lineRule="exact"/>
              <w:jc w:val="center"/>
              <w:rPr>
                <w:rFonts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3585" w:type="dxa"/>
            <w:gridSpan w:val="6"/>
            <w:vAlign w:val="center"/>
          </w:tcPr>
          <w:p>
            <w:pPr>
              <w:spacing w:line="380" w:lineRule="exact"/>
              <w:jc w:val="left"/>
              <w:rPr>
                <w:rFonts w:eastAsia="仿宋_GB2312"/>
                <w:b/>
                <w:szCs w:val="21"/>
              </w:rPr>
            </w:pPr>
            <w:r>
              <w:rPr>
                <w:rFonts w:hint="eastAsia" w:eastAsia="仿宋_GB2312"/>
                <w:b/>
                <w:szCs w:val="21"/>
              </w:rPr>
              <w:t>说明：</w:t>
            </w:r>
            <w:r>
              <w:t>1、针对明确回复无意见的单位，请在“意见内容”中注明无意见，在“提出单位”中列出无意见单位的名称。2、发送征求意见稿单位数5个；回到征求意见稿回函的单位数5个；收到征求意见稿并提出意见的单位数5个；没有回函的单位数0个；共收到</w:t>
            </w:r>
            <w:r>
              <w:rPr>
                <w:rFonts w:hint="eastAsia"/>
                <w:lang w:val="en-US" w:eastAsia="zh-CN"/>
              </w:rPr>
              <w:t>4</w:t>
            </w:r>
            <w:r>
              <w:t>条意见，采纳</w:t>
            </w:r>
            <w:r>
              <w:rPr>
                <w:rFonts w:hint="eastAsia"/>
                <w:lang w:val="en-US" w:eastAsia="zh-CN"/>
              </w:rPr>
              <w:t>4</w:t>
            </w:r>
            <w:r>
              <w:t>条意见，部分采纳0条意见，未采纳</w:t>
            </w:r>
            <w:r>
              <w:rPr>
                <w:rFonts w:hint="eastAsia"/>
              </w:rPr>
              <w:t>0</w:t>
            </w:r>
            <w:r>
              <w:t>条意见</w:t>
            </w:r>
            <w:r>
              <w:rPr>
                <w:rFonts w:hint="eastAsia"/>
              </w:rPr>
              <w:t>。</w:t>
            </w:r>
          </w:p>
        </w:tc>
      </w:tr>
    </w:tbl>
    <w:p>
      <w:pPr>
        <w:jc w:val="center"/>
        <w:rPr>
          <w:rFonts w:hint="default" w:ascii="仿宋_GB2312" w:hAnsi="宋体" w:eastAsia="仿宋_GB2312"/>
          <w:color w:val="0000FF"/>
          <w:sz w:val="24"/>
          <w:lang w:val="en-US" w:eastAsia="zh-CN"/>
        </w:rPr>
      </w:pPr>
    </w:p>
    <w:sectPr>
      <w:pgSz w:w="16838" w:h="11906" w:orient="landscape"/>
      <w:pgMar w:top="1803" w:right="1440" w:bottom="1803" w:left="1440" w:header="851" w:footer="992" w:gutter="0"/>
      <w:pgBorders>
        <w:top w:val="none" w:sz="0" w:space="0"/>
        <w:left w:val="none" w:sz="0" w:space="0"/>
        <w:bottom w:val="none" w:sz="0" w:space="0"/>
        <w:right w:val="none" w:sz="0" w:space="0"/>
      </w:pgBorders>
      <w:pgNumType w:start="1"/>
      <w:cols w:space="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Mangal">
    <w:altName w:val="Noto Sans Syriac Eastern"/>
    <w:panose1 w:val="02040503050203030202"/>
    <w:charset w:val="01"/>
    <w:family w:val="roman"/>
    <w:pitch w:val="default"/>
    <w:sig w:usb0="00000000" w:usb1="00000000" w:usb2="00000000" w:usb3="00000000" w:csb0="0000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PAGE   \* MERGEFORMAT</w:instrText>
    </w:r>
    <w:r>
      <w:fldChar w:fldCharType="separate"/>
    </w:r>
    <w:r>
      <w:rPr>
        <w:lang w:val="zh-CN"/>
      </w:rPr>
      <w:t>2</w:t>
    </w:r>
    <w:r>
      <w:fldChar w:fldCharType="end"/>
    </w:r>
  </w:p>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30D03"/>
    <w:multiLevelType w:val="singleLevel"/>
    <w:tmpl w:val="EEB30D03"/>
    <w:lvl w:ilvl="0" w:tentative="0">
      <w:start w:val="6"/>
      <w:numFmt w:val="decimal"/>
      <w:suff w:val="nothing"/>
      <w:lvlText w:val="%1、"/>
      <w:lvlJc w:val="left"/>
    </w:lvl>
  </w:abstractNum>
  <w:abstractNum w:abstractNumId="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2"/>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3"/>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false"/>
  <w:bordersDoNotSurroundFooter w:val="false"/>
  <w:doNotTrackMoves/>
  <w:documentProtection w:enforcement="0"/>
  <w:defaultTabStop w:val="420"/>
  <w:drawingGridHorizontalSpacing w:val="105"/>
  <w:drawingGridVerticalSpacing w:val="159"/>
  <w:displayHorizontalDrawingGridEvery w:val="1"/>
  <w:displayVerticalDrawingGridEvery w:val="2"/>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2ZTJiYWMwODY3MWVmY2YwN2NiZTI3NDQ3MTJlZTkifQ=="/>
  </w:docVars>
  <w:rsids>
    <w:rsidRoot w:val="00636FC5"/>
    <w:rsid w:val="00001C9C"/>
    <w:rsid w:val="00002121"/>
    <w:rsid w:val="00003D4E"/>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B70"/>
    <w:rsid w:val="0009360F"/>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36B80"/>
    <w:rsid w:val="00140883"/>
    <w:rsid w:val="001422D2"/>
    <w:rsid w:val="00142DCA"/>
    <w:rsid w:val="001451F2"/>
    <w:rsid w:val="00153E55"/>
    <w:rsid w:val="00155235"/>
    <w:rsid w:val="0016381F"/>
    <w:rsid w:val="0016534D"/>
    <w:rsid w:val="001653E3"/>
    <w:rsid w:val="001657F4"/>
    <w:rsid w:val="00184DC2"/>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6323B"/>
    <w:rsid w:val="00573771"/>
    <w:rsid w:val="005811F3"/>
    <w:rsid w:val="00582DEA"/>
    <w:rsid w:val="0058589E"/>
    <w:rsid w:val="0059142D"/>
    <w:rsid w:val="005915E3"/>
    <w:rsid w:val="00597C60"/>
    <w:rsid w:val="005A0ED2"/>
    <w:rsid w:val="005A3C89"/>
    <w:rsid w:val="005A42A5"/>
    <w:rsid w:val="005B07C8"/>
    <w:rsid w:val="005B1473"/>
    <w:rsid w:val="005B4A6F"/>
    <w:rsid w:val="005B7CA6"/>
    <w:rsid w:val="005C1F9E"/>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3E2E"/>
    <w:rsid w:val="006C472E"/>
    <w:rsid w:val="006C7054"/>
    <w:rsid w:val="006D0FBE"/>
    <w:rsid w:val="006D1116"/>
    <w:rsid w:val="006E02DD"/>
    <w:rsid w:val="006E1129"/>
    <w:rsid w:val="00702811"/>
    <w:rsid w:val="00706BC0"/>
    <w:rsid w:val="007138B0"/>
    <w:rsid w:val="00713D54"/>
    <w:rsid w:val="00715399"/>
    <w:rsid w:val="00720C80"/>
    <w:rsid w:val="007230A0"/>
    <w:rsid w:val="0072360B"/>
    <w:rsid w:val="0072435E"/>
    <w:rsid w:val="007249D5"/>
    <w:rsid w:val="00730F68"/>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3825"/>
    <w:rsid w:val="008729C9"/>
    <w:rsid w:val="00874B45"/>
    <w:rsid w:val="00880EC6"/>
    <w:rsid w:val="00884A91"/>
    <w:rsid w:val="008935DA"/>
    <w:rsid w:val="008A1B81"/>
    <w:rsid w:val="008A36A4"/>
    <w:rsid w:val="008A699E"/>
    <w:rsid w:val="008A6D37"/>
    <w:rsid w:val="008B7F7F"/>
    <w:rsid w:val="008C1D81"/>
    <w:rsid w:val="008C4583"/>
    <w:rsid w:val="008E256F"/>
    <w:rsid w:val="008E454E"/>
    <w:rsid w:val="008F1AAD"/>
    <w:rsid w:val="008F5288"/>
    <w:rsid w:val="0091113A"/>
    <w:rsid w:val="00915F25"/>
    <w:rsid w:val="009166F0"/>
    <w:rsid w:val="00916E3B"/>
    <w:rsid w:val="00920385"/>
    <w:rsid w:val="009211BD"/>
    <w:rsid w:val="0092160B"/>
    <w:rsid w:val="0092627B"/>
    <w:rsid w:val="00934199"/>
    <w:rsid w:val="009358E1"/>
    <w:rsid w:val="00936A6B"/>
    <w:rsid w:val="00953792"/>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90B3A"/>
    <w:rsid w:val="00A935E8"/>
    <w:rsid w:val="00A9450A"/>
    <w:rsid w:val="00A9569D"/>
    <w:rsid w:val="00AA538B"/>
    <w:rsid w:val="00AA685C"/>
    <w:rsid w:val="00AB297F"/>
    <w:rsid w:val="00AB4A9B"/>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5323"/>
    <w:rsid w:val="00C3286F"/>
    <w:rsid w:val="00C3299F"/>
    <w:rsid w:val="00C33013"/>
    <w:rsid w:val="00C43949"/>
    <w:rsid w:val="00C459D1"/>
    <w:rsid w:val="00C505BD"/>
    <w:rsid w:val="00C561D9"/>
    <w:rsid w:val="00C665D4"/>
    <w:rsid w:val="00C7245E"/>
    <w:rsid w:val="00C76C16"/>
    <w:rsid w:val="00C77D84"/>
    <w:rsid w:val="00C815C4"/>
    <w:rsid w:val="00C84B6C"/>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10633"/>
    <w:rsid w:val="00D10DC3"/>
    <w:rsid w:val="00D211A9"/>
    <w:rsid w:val="00D259BF"/>
    <w:rsid w:val="00D26281"/>
    <w:rsid w:val="00D27F7C"/>
    <w:rsid w:val="00D46020"/>
    <w:rsid w:val="00D56B74"/>
    <w:rsid w:val="00D57A84"/>
    <w:rsid w:val="00D665A9"/>
    <w:rsid w:val="00D72C03"/>
    <w:rsid w:val="00D81CD3"/>
    <w:rsid w:val="00D9062C"/>
    <w:rsid w:val="00D91C3A"/>
    <w:rsid w:val="00D93605"/>
    <w:rsid w:val="00D9617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1D53"/>
    <w:rsid w:val="00E722BD"/>
    <w:rsid w:val="00E830F6"/>
    <w:rsid w:val="00E87347"/>
    <w:rsid w:val="00E945B0"/>
    <w:rsid w:val="00E94AFD"/>
    <w:rsid w:val="00E957AE"/>
    <w:rsid w:val="00EA6262"/>
    <w:rsid w:val="00EB4480"/>
    <w:rsid w:val="00EB6465"/>
    <w:rsid w:val="00ED6677"/>
    <w:rsid w:val="00EE6530"/>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6158"/>
    <w:rsid w:val="00FA63F4"/>
    <w:rsid w:val="00FB15E3"/>
    <w:rsid w:val="00FB79BD"/>
    <w:rsid w:val="00FC754C"/>
    <w:rsid w:val="00FD0304"/>
    <w:rsid w:val="00FD3CE4"/>
    <w:rsid w:val="00FD684B"/>
    <w:rsid w:val="04AD7E25"/>
    <w:rsid w:val="06F07F7E"/>
    <w:rsid w:val="0D6D488D"/>
    <w:rsid w:val="0E803383"/>
    <w:rsid w:val="1538466C"/>
    <w:rsid w:val="179901BE"/>
    <w:rsid w:val="1E197963"/>
    <w:rsid w:val="2E913546"/>
    <w:rsid w:val="336267C9"/>
    <w:rsid w:val="35823C32"/>
    <w:rsid w:val="35951B6D"/>
    <w:rsid w:val="3D25D500"/>
    <w:rsid w:val="3EEF98DD"/>
    <w:rsid w:val="3F9FD22F"/>
    <w:rsid w:val="41C128A0"/>
    <w:rsid w:val="42EE0B0F"/>
    <w:rsid w:val="470749E1"/>
    <w:rsid w:val="4F7B247E"/>
    <w:rsid w:val="50722D7F"/>
    <w:rsid w:val="54412A09"/>
    <w:rsid w:val="57D94567"/>
    <w:rsid w:val="5CFF1606"/>
    <w:rsid w:val="5DFFCE9C"/>
    <w:rsid w:val="5FB81DCD"/>
    <w:rsid w:val="63BD8BA4"/>
    <w:rsid w:val="6BFEE3C0"/>
    <w:rsid w:val="6BFF0146"/>
    <w:rsid w:val="6EFD90F7"/>
    <w:rsid w:val="72DE18B7"/>
    <w:rsid w:val="72FF004B"/>
    <w:rsid w:val="7329008F"/>
    <w:rsid w:val="770D75E2"/>
    <w:rsid w:val="77C6AB6B"/>
    <w:rsid w:val="77FF4F98"/>
    <w:rsid w:val="79FF0142"/>
    <w:rsid w:val="7A0B19CB"/>
    <w:rsid w:val="7BFB120F"/>
    <w:rsid w:val="7F7F1836"/>
    <w:rsid w:val="7FDE9EE2"/>
    <w:rsid w:val="93EEA786"/>
    <w:rsid w:val="9CFB7DEA"/>
    <w:rsid w:val="ADAF1DB9"/>
    <w:rsid w:val="B5FF0B5B"/>
    <w:rsid w:val="B76B45F2"/>
    <w:rsid w:val="D5FE192F"/>
    <w:rsid w:val="DDDB2668"/>
    <w:rsid w:val="DFDF6A6A"/>
    <w:rsid w:val="DFFB0938"/>
    <w:rsid w:val="EB7DFDD5"/>
    <w:rsid w:val="EC3D1978"/>
    <w:rsid w:val="FEFFD74D"/>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18"/>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6">
    <w:name w:val="heading 3"/>
    <w:basedOn w:val="1"/>
    <w:next w:val="1"/>
    <w:link w:val="19"/>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正文首行缩进 21"/>
    <w:basedOn w:val="3"/>
    <w:next w:val="4"/>
    <w:qFormat/>
    <w:uiPriority w:val="0"/>
    <w:pPr>
      <w:ind w:left="200" w:leftChars="200"/>
    </w:pPr>
    <w:rPr>
      <w:rFonts w:eastAsia="仿宋_GB2312"/>
      <w:sz w:val="32"/>
      <w:szCs w:val="32"/>
    </w:rPr>
  </w:style>
  <w:style w:type="paragraph" w:customStyle="1" w:styleId="3">
    <w:name w:val="正文文本缩进1"/>
    <w:basedOn w:val="1"/>
    <w:qFormat/>
    <w:uiPriority w:val="0"/>
    <w:pPr>
      <w:ind w:left="200" w:leftChars="200"/>
    </w:pPr>
    <w:rPr>
      <w:rFonts w:ascii="Calibri" w:hAnsi="Calibri" w:eastAsia="宋体" w:cs="Times New Roman"/>
    </w:rPr>
  </w:style>
  <w:style w:type="paragraph" w:styleId="4">
    <w:name w:val="Normal (Web)"/>
    <w:basedOn w:val="1"/>
    <w:next w:val="1"/>
    <w:unhideWhenUsed/>
    <w:qFormat/>
    <w:uiPriority w:val="99"/>
    <w:pPr>
      <w:widowControl/>
      <w:spacing w:before="100" w:beforeAutospacing="1" w:after="100" w:afterAutospacing="1"/>
      <w:jc w:val="left"/>
    </w:pPr>
    <w:rPr>
      <w:rFonts w:ascii="宋体" w:hAnsi="宋体" w:cs="宋体"/>
      <w:kern w:val="0"/>
      <w:sz w:val="24"/>
    </w:rPr>
  </w:style>
  <w:style w:type="paragraph" w:styleId="7">
    <w:name w:val="caption"/>
    <w:basedOn w:val="1"/>
    <w:next w:val="1"/>
    <w:qFormat/>
    <w:uiPriority w:val="99"/>
    <w:pPr>
      <w:suppressLineNumbers/>
      <w:suppressAutoHyphens/>
      <w:spacing w:before="120" w:after="120"/>
    </w:pPr>
    <w:rPr>
      <w:rFonts w:cs="Mangal"/>
      <w:i/>
      <w:iCs/>
      <w:kern w:val="21"/>
      <w:sz w:val="24"/>
      <w:lang w:eastAsia="ar-SA"/>
    </w:rPr>
  </w:style>
  <w:style w:type="paragraph" w:styleId="8">
    <w:name w:val="Body Text"/>
    <w:basedOn w:val="1"/>
    <w:link w:val="29"/>
    <w:qFormat/>
    <w:uiPriority w:val="0"/>
    <w:pPr>
      <w:spacing w:after="120"/>
    </w:pPr>
  </w:style>
  <w:style w:type="paragraph" w:styleId="9">
    <w:name w:val="Date"/>
    <w:basedOn w:val="1"/>
    <w:next w:val="1"/>
    <w:link w:val="28"/>
    <w:semiHidden/>
    <w:unhideWhenUsed/>
    <w:qFormat/>
    <w:uiPriority w:val="99"/>
    <w:pPr>
      <w:ind w:left="100" w:leftChars="2500"/>
    </w:pPr>
  </w:style>
  <w:style w:type="paragraph" w:styleId="10">
    <w:name w:val="Balloon Text"/>
    <w:basedOn w:val="1"/>
    <w:link w:val="25"/>
    <w:semiHidden/>
    <w:unhideWhenUsed/>
    <w:qFormat/>
    <w:uiPriority w:val="99"/>
    <w:rPr>
      <w:sz w:val="18"/>
      <w:szCs w:val="18"/>
    </w:r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5">
    <w:name w:val="Table Grid"/>
    <w:basedOn w:val="1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qFormat/>
    <w:uiPriority w:val="99"/>
    <w:rPr>
      <w:rFonts w:cs="Times New Roman"/>
      <w:b/>
    </w:rPr>
  </w:style>
  <w:style w:type="character" w:customStyle="1" w:styleId="18">
    <w:name w:val="标题 1 Char"/>
    <w:link w:val="5"/>
    <w:qFormat/>
    <w:locked/>
    <w:uiPriority w:val="99"/>
    <w:rPr>
      <w:rFonts w:cs="Times New Roman"/>
      <w:b/>
      <w:kern w:val="1"/>
      <w:sz w:val="44"/>
      <w:lang w:eastAsia="ar-SA" w:bidi="ar-SA"/>
    </w:rPr>
  </w:style>
  <w:style w:type="character" w:customStyle="1" w:styleId="19">
    <w:name w:val="标题 3 Char"/>
    <w:link w:val="6"/>
    <w:qFormat/>
    <w:locked/>
    <w:uiPriority w:val="99"/>
    <w:rPr>
      <w:rFonts w:cs="Times New Roman"/>
      <w:b/>
      <w:kern w:val="21"/>
      <w:sz w:val="32"/>
      <w:lang w:eastAsia="ar-SA" w:bidi="ar-SA"/>
    </w:rPr>
  </w:style>
  <w:style w:type="paragraph" w:styleId="20">
    <w:name w:val="List Paragraph"/>
    <w:basedOn w:val="1"/>
    <w:qFormat/>
    <w:uiPriority w:val="99"/>
    <w:pPr>
      <w:suppressAutoHyphens/>
      <w:ind w:firstLine="420" w:firstLineChars="200"/>
    </w:pPr>
    <w:rPr>
      <w:kern w:val="21"/>
      <w:lang w:eastAsia="ar-SA"/>
    </w:rPr>
  </w:style>
  <w:style w:type="paragraph" w:customStyle="1" w:styleId="21">
    <w:name w:val="段"/>
    <w:link w:val="2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2">
    <w:name w:val="段 Char"/>
    <w:link w:val="21"/>
    <w:qFormat/>
    <w:locked/>
    <w:uiPriority w:val="0"/>
    <w:rPr>
      <w:rFonts w:ascii="宋体" w:cs="Times New Roman"/>
      <w:sz w:val="21"/>
      <w:lang w:val="en-US" w:eastAsia="zh-CN" w:bidi="ar-SA"/>
    </w:rPr>
  </w:style>
  <w:style w:type="character" w:customStyle="1" w:styleId="23">
    <w:name w:val="页眉 Char"/>
    <w:link w:val="12"/>
    <w:qFormat/>
    <w:uiPriority w:val="99"/>
    <w:rPr>
      <w:sz w:val="18"/>
      <w:szCs w:val="18"/>
    </w:rPr>
  </w:style>
  <w:style w:type="character" w:customStyle="1" w:styleId="24">
    <w:name w:val="页脚 Char"/>
    <w:link w:val="11"/>
    <w:qFormat/>
    <w:uiPriority w:val="99"/>
    <w:rPr>
      <w:sz w:val="18"/>
      <w:szCs w:val="18"/>
    </w:rPr>
  </w:style>
  <w:style w:type="character" w:customStyle="1" w:styleId="25">
    <w:name w:val="批注框文本 Char"/>
    <w:link w:val="10"/>
    <w:semiHidden/>
    <w:qFormat/>
    <w:uiPriority w:val="99"/>
    <w:rPr>
      <w:kern w:val="2"/>
      <w:sz w:val="18"/>
      <w:szCs w:val="18"/>
    </w:rPr>
  </w:style>
  <w:style w:type="table" w:customStyle="1" w:styleId="26">
    <w:name w:val="浅色底纹1"/>
    <w:basedOn w:val="14"/>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7">
    <w:name w:val="浅色底纹2"/>
    <w:basedOn w:val="14"/>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8">
    <w:name w:val="日期 Char"/>
    <w:basedOn w:val="16"/>
    <w:link w:val="9"/>
    <w:semiHidden/>
    <w:qFormat/>
    <w:uiPriority w:val="99"/>
    <w:rPr>
      <w:kern w:val="2"/>
      <w:sz w:val="21"/>
      <w:szCs w:val="24"/>
    </w:rPr>
  </w:style>
  <w:style w:type="character" w:customStyle="1" w:styleId="29">
    <w:name w:val="正文文本 Char"/>
    <w:basedOn w:val="16"/>
    <w:link w:val="8"/>
    <w:qFormat/>
    <w:uiPriority w:val="0"/>
    <w:rPr>
      <w:kern w:val="2"/>
      <w:sz w:val="21"/>
      <w:szCs w:val="24"/>
    </w:rPr>
  </w:style>
  <w:style w:type="paragraph" w:customStyle="1" w:styleId="30">
    <w:name w:val="标准文件_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1">
    <w:name w:val="标准文件_段 Char"/>
    <w:link w:val="30"/>
    <w:qFormat/>
    <w:uiPriority w:val="0"/>
    <w:rPr>
      <w:rFonts w:ascii="宋体"/>
      <w:sz w:val="21"/>
    </w:rPr>
  </w:style>
  <w:style w:type="paragraph" w:customStyle="1" w:styleId="32">
    <w:name w:val="一级条标题"/>
    <w:next w:val="21"/>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3">
    <w:name w:val="二级条标题"/>
    <w:basedOn w:val="32"/>
    <w:next w:val="21"/>
    <w:qFormat/>
    <w:uiPriority w:val="0"/>
    <w:pPr>
      <w:numPr>
        <w:ilvl w:val="2"/>
        <w:numId w:val="1"/>
      </w:numPr>
      <w:spacing w:before="50" w:after="50"/>
      <w:outlineLvl w:val="3"/>
    </w:pPr>
  </w:style>
  <w:style w:type="paragraph" w:customStyle="1" w:styleId="34">
    <w:name w:val="附录表标题"/>
    <w:basedOn w:val="1"/>
    <w:next w:val="21"/>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10</Pages>
  <Words>1040</Words>
  <Characters>5934</Characters>
  <Lines>49</Lines>
  <Paragraphs>13</Paragraphs>
  <TotalTime>26</TotalTime>
  <ScaleCrop>false</ScaleCrop>
  <LinksUpToDate>false</LinksUpToDate>
  <CharactersWithSpaces>6961</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2016-02-25T07:17:00Z</dcterms:created>
  <dc:creator>lenovo</dc:creator>
  <cp:lastModifiedBy>baixin</cp:lastModifiedBy>
  <cp:lastPrinted>2017-01-19T07:31:00Z</cp:lastPrinted>
  <dcterms:modified xsi:type="dcterms:W3CDTF">2024-07-09T16:53:29Z</dcterms:modified>
  <cp:revision>536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16DEC057891D4C0DB8764FBC7996C205_13</vt:lpwstr>
  </property>
</Properties>
</file>